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66CC"/>
          <w:kern w:val="0"/>
          <w:sz w:val="24"/>
          <w:szCs w:val="24"/>
          <w:lang w:val="en-US" w:eastAsia="zh-CN" w:bidi="ar"/>
        </w:rPr>
        <w:t>云南省2012年国民经济和社会发展统计公报</w:t>
      </w:r>
      <w:r>
        <w:rPr>
          <w:rFonts w:hint="eastAsia" w:ascii="宋体" w:hAnsi="宋体" w:eastAsia="宋体" w:cs="宋体"/>
          <w:kern w:val="0"/>
          <w:sz w:val="24"/>
          <w:szCs w:val="24"/>
          <w:vertAlign w:val="superscript"/>
          <w:lang w:val="en-US" w:eastAsia="zh-CN" w:bidi="ar"/>
        </w:rPr>
        <w:t>[1]</w:t>
      </w:r>
    </w:p>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30" w:lineRule="atLeast"/>
        <w:ind w:left="0" w:right="0"/>
        <w:jc w:val="center"/>
      </w:pPr>
      <w:bookmarkStart w:id="0" w:name="OLE_LINK3"/>
      <w:r>
        <w:rPr>
          <w:rFonts w:hint="eastAsia" w:ascii="宋体" w:hAnsi="宋体" w:eastAsia="宋体" w:cs="宋体"/>
          <w:b/>
          <w:kern w:val="0"/>
          <w:sz w:val="24"/>
          <w:szCs w:val="24"/>
          <w:lang w:val="en-US" w:eastAsia="zh-CN" w:bidi="ar"/>
        </w:rPr>
        <w:t>云  南  省  统  计  局</w:t>
      </w:r>
      <w:bookmarkEnd w:id="0"/>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b/>
          <w:kern w:val="0"/>
          <w:sz w:val="24"/>
          <w:szCs w:val="24"/>
          <w:lang w:val="en-US" w:eastAsia="zh-CN" w:bidi="ar"/>
        </w:rPr>
        <w:t>国家统计局云南调查总队</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4"/>
          <w:szCs w:val="24"/>
          <w:lang w:val="en-US" w:eastAsia="zh-CN" w:bidi="ar"/>
        </w:rPr>
        <w:t>2013年4月</w:t>
      </w:r>
    </w:p>
    <w:p>
      <w:pPr>
        <w:keepNext w:val="0"/>
        <w:keepLines w:val="0"/>
        <w:widowControl/>
        <w:suppressLineNumbers w:val="0"/>
        <w:spacing w:before="0" w:beforeAutospacing="1" w:after="0" w:afterAutospacing="1" w:line="360" w:lineRule="auto"/>
        <w:ind w:left="0" w:right="0" w:firstLine="4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2012年，在省委、省政府的正确领导下，云南各族人民高举中国特色社会主义伟大旗帜，以邓小平理论、“三个代表”重要思想、科学发展观为指导，积极应对三年连续干旱和经济下行压力带来的严峻挑战，抓住国家新一轮西部大开发和建设中国面向西南开放重要桥头堡的重大战略机遇，把握稳中求进的主基调，按照“稳增长，冲万亿，促跨越”发展目标，积极推动发展方式转变,以推进园区经济、县域经济、民营经济发展“三大战役”为抓手，攻坚克难，开拓进取，全省呈现经济快速增长、社会安定和谐、民生持续改善、改革开放深入推进、社会事业全面进步的良好局面，在努力全面建成云南小康社会和美丽云南新征程上迈出坚实的步伐。</w:t>
      </w:r>
    </w:p>
    <w:p>
      <w:pPr>
        <w:keepNext w:val="0"/>
        <w:keepLines w:val="0"/>
        <w:widowControl/>
        <w:suppressLineNumbers w:val="0"/>
        <w:spacing w:before="0" w:beforeAutospacing="1" w:after="0" w:afterAutospacing="1" w:line="360" w:lineRule="auto"/>
        <w:ind w:left="3053" w:right="0" w:hanging="660"/>
        <w:jc w:val="left"/>
      </w:pPr>
      <w:r>
        <w:rPr>
          <w:rFonts w:hint="eastAsia" w:ascii="宋体" w:hAnsi="宋体" w:eastAsia="宋体" w:cs="宋体"/>
          <w:b/>
          <w:kern w:val="0"/>
          <w:sz w:val="24"/>
          <w:szCs w:val="24"/>
          <w:lang w:val="en-US" w:eastAsia="zh-CN" w:bidi="ar"/>
        </w:rPr>
        <w:t>一、</w:t>
      </w:r>
      <w:r>
        <w:rPr>
          <w:rFonts w:ascii="Times New Roman" w:hAnsi="Times New Roman" w:eastAsia="宋体" w:cs="Times New Roman"/>
          <w:b/>
          <w:kern w:val="0"/>
          <w:sz w:val="14"/>
          <w:szCs w:val="14"/>
          <w:lang w:val="en-US" w:eastAsia="zh-CN" w:bidi="ar"/>
        </w:rPr>
        <w:t xml:space="preserve"> </w:t>
      </w:r>
      <w:r>
        <w:rPr>
          <w:rFonts w:hint="eastAsia" w:ascii="宋体" w:hAnsi="宋体" w:eastAsia="宋体" w:cs="宋体"/>
          <w:b/>
          <w:kern w:val="0"/>
          <w:sz w:val="24"/>
          <w:szCs w:val="24"/>
          <w:lang w:val="en-US" w:eastAsia="zh-CN" w:bidi="ar"/>
        </w:rPr>
        <w:t>经 济 增 长</w:t>
      </w:r>
    </w:p>
    <w:p>
      <w:pPr>
        <w:keepNext w:val="0"/>
        <w:keepLines w:val="0"/>
        <w:widowControl/>
        <w:suppressLineNumbers w:val="0"/>
        <w:spacing w:before="0" w:beforeAutospacing="1" w:after="0" w:afterAutospacing="1" w:line="360" w:lineRule="auto"/>
        <w:ind w:left="0" w:right="0" w:firstLine="600"/>
        <w:jc w:val="left"/>
      </w:pPr>
      <w:r>
        <w:rPr>
          <w:rFonts w:hint="eastAsia" w:ascii="宋体" w:hAnsi="宋体" w:eastAsia="宋体" w:cs="宋体"/>
          <w:kern w:val="0"/>
          <w:sz w:val="24"/>
          <w:szCs w:val="24"/>
          <w:lang w:val="en-US" w:eastAsia="zh-CN" w:bidi="ar"/>
        </w:rPr>
        <w:t>初步核算，2012年全省生产总值</w:t>
      </w:r>
      <w:r>
        <w:rPr>
          <w:rFonts w:hint="eastAsia" w:ascii="宋体" w:hAnsi="宋体" w:eastAsia="宋体" w:cs="宋体"/>
          <w:kern w:val="0"/>
          <w:sz w:val="24"/>
          <w:szCs w:val="24"/>
          <w:vertAlign w:val="superscript"/>
          <w:lang w:val="en-US" w:eastAsia="zh-CN" w:bidi="ar"/>
        </w:rPr>
        <w:t>[2]</w:t>
      </w:r>
      <w:r>
        <w:rPr>
          <w:rFonts w:hint="eastAsia" w:ascii="宋体" w:hAnsi="宋体" w:eastAsia="宋体" w:cs="宋体"/>
          <w:kern w:val="0"/>
          <w:sz w:val="24"/>
          <w:szCs w:val="24"/>
          <w:lang w:val="en-US" w:eastAsia="zh-CN" w:bidi="ar"/>
        </w:rPr>
        <w:t>(GDP)达10309.80亿元，比上年增长13.0%，高于全国5.2个百分点。其中，第一产业增加值1654.60亿元，增长6.7%；第二产业增加值4419.10亿元，增长16.2%；第三产业增加值4236.14亿元，增长11.4%。三次产业结构由上年的15.9:42.5</w:t>
      </w:r>
      <w:bookmarkStart w:id="1" w:name="OLE_LINK2"/>
      <w:r>
        <w:rPr>
          <w:rFonts w:hint="eastAsia" w:ascii="宋体" w:hAnsi="宋体" w:eastAsia="宋体" w:cs="宋体"/>
          <w:kern w:val="0"/>
          <w:sz w:val="24"/>
          <w:szCs w:val="24"/>
          <w:lang w:val="en-US" w:eastAsia="zh-CN" w:bidi="ar"/>
        </w:rPr>
        <w:t>:</w:t>
      </w:r>
      <w:bookmarkEnd w:id="1"/>
      <w:r>
        <w:rPr>
          <w:rFonts w:hint="eastAsia" w:ascii="宋体" w:hAnsi="宋体" w:eastAsia="宋体" w:cs="宋体"/>
          <w:kern w:val="0"/>
          <w:sz w:val="24"/>
          <w:szCs w:val="24"/>
          <w:lang w:val="en-US" w:eastAsia="zh-CN" w:bidi="ar"/>
        </w:rPr>
        <w:t>41.6调整为16.0:42.9:41.1。全省人均生产总值(GDP)达22195元（折合3531美元），比上年增长12.3%。非公经济增加值实现4546.62亿元，占全省生产总值的比重达44.1%，比上年提高2.0个百分点。全省经济总量突破万亿元大关，成功加入全国万亿俱乐部，实现了经济发展新跨越。</w:t>
      </w:r>
    </w:p>
    <w:p>
      <w:pPr>
        <w:keepNext w:val="0"/>
        <w:keepLines w:val="0"/>
        <w:widowControl/>
        <w:suppressLineNumbers w:val="0"/>
        <w:spacing w:before="0" w:beforeAutospacing="1" w:after="0" w:afterAutospacing="1"/>
        <w:ind w:left="0" w:right="0" w:firstLine="593"/>
        <w:jc w:val="left"/>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w:t>
      </w:r>
      <w:bookmarkStart w:id="4" w:name="_GoBack"/>
      <w:bookmarkEnd w:id="4"/>
      <w:r>
        <w:rPr>
          <w:rFonts w:hint="eastAsia" w:ascii="宋体" w:hAnsi="宋体" w:eastAsia="宋体" w:cs="宋体"/>
          <w:b/>
          <w:kern w:val="0"/>
          <w:sz w:val="24"/>
          <w:szCs w:val="24"/>
          <w:lang w:val="en-US" w:eastAsia="zh-CN" w:bidi="ar"/>
        </w:rPr>
        <w:t>  </w:t>
      </w:r>
      <w:bookmarkStart w:id="2" w:name="_GoBack"/>
      <w:bookmarkEnd w:id="2"/>
    </w:p>
    <w:p>
      <w:pPr>
        <w:keepNext w:val="0"/>
        <w:keepLines w:val="0"/>
        <w:widowControl/>
        <w:suppressLineNumbers w:val="0"/>
        <w:spacing w:before="0" w:beforeAutospacing="1" w:after="0" w:afterAutospacing="1"/>
        <w:ind w:left="0" w:right="0" w:firstLine="593"/>
        <w:jc w:val="left"/>
      </w:pPr>
      <w:r>
        <w:rPr>
          <w:rFonts w:hint="eastAsia" w:ascii="宋体" w:hAnsi="宋体" w:eastAsia="宋体" w:cs="宋体"/>
          <w:kern w:val="0"/>
          <w:sz w:val="24"/>
          <w:szCs w:val="24"/>
          <w:lang w:val="en-US" w:eastAsia="zh-CN" w:bidi="ar"/>
        </w:rPr>
        <w:t xml:space="preserve"> 全省公共财政实力增强。全年财政总收入达2624.20亿元，比上年增长16.2%。</w:t>
      </w:r>
      <w:bookmarkStart w:id="3" w:name="OLE_LINK1"/>
      <w:r>
        <w:rPr>
          <w:rFonts w:hint="eastAsia" w:ascii="宋体" w:hAnsi="宋体" w:eastAsia="宋体" w:cs="宋体"/>
          <w:kern w:val="0"/>
          <w:sz w:val="24"/>
          <w:szCs w:val="24"/>
          <w:lang w:val="en-US" w:eastAsia="zh-CN" w:bidi="ar"/>
        </w:rPr>
        <w:t>全省地方公共财政预算收入</w:t>
      </w:r>
      <w:bookmarkEnd w:id="3"/>
      <w:r>
        <w:rPr>
          <w:rFonts w:hint="eastAsia" w:ascii="宋体" w:hAnsi="宋体" w:eastAsia="宋体" w:cs="宋体"/>
          <w:kern w:val="0"/>
          <w:sz w:val="24"/>
          <w:szCs w:val="24"/>
          <w:lang w:val="en-US" w:eastAsia="zh-CN" w:bidi="ar"/>
        </w:rPr>
        <w:t>1337.98亿元，比上年增长20.4%；其中增值税完成148.00亿元，增长 8.3%；营业税340.54亿元，增长22.6%；企业所得税135.82亿元，增长22.8%。全省地方公共财政预算支出完成3573.41亿元，比上年增长22.0%，其中，用于教育、社会保障和就业、医疗卫生、农林水事务和住房保障支出分别增长39.7%、13.6%、12.7%、26.1%和52.7%。 </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kern w:val="0"/>
          <w:sz w:val="24"/>
          <w:szCs w:val="24"/>
          <w:lang w:val="en-US" w:eastAsia="zh-CN" w:bidi="ar"/>
        </w:rPr>
        <w:t>   </w:t>
      </w:r>
      <w:r>
        <w:rPr>
          <w:rFonts w:hint="eastAsia" w:ascii="宋体" w:hAnsi="宋体" w:eastAsia="宋体" w:cs="宋体"/>
          <w:color w:val="000000"/>
          <w:kern w:val="0"/>
          <w:sz w:val="24"/>
          <w:szCs w:val="24"/>
          <w:lang w:val="en-US" w:eastAsia="zh-CN" w:bidi="ar"/>
        </w:rPr>
        <w:t>全年稳定物价成效明显。全省居民消费价格指数（CPI）为102.7，比上年上涨2.7%，其中食品价格上涨6.2%；工业生产者出厂价格下降2.1%，工业生产者购进价格下降0.7%；固定资产投资价格上涨1.4%；农业生产资料价格上涨4.6%，农产品生产价格上涨10.7%。</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4"/>
          <w:szCs w:val="24"/>
          <w:lang w:val="en-US" w:eastAsia="zh-CN" w:bidi="ar"/>
        </w:rPr>
        <w:t>表1  2012年云南省居民消费价格比上年涨跌幅度</w:t>
      </w:r>
    </w:p>
    <w:p>
      <w:pPr>
        <w:keepNext w:val="0"/>
        <w:keepLines w:val="0"/>
        <w:widowControl/>
        <w:suppressLineNumbers w:val="0"/>
        <w:spacing w:before="0" w:beforeAutospacing="1" w:after="0" w:afterAutospacing="1"/>
        <w:ind w:left="0" w:right="0" w:firstLine="470"/>
        <w:jc w:val="center"/>
      </w:pPr>
      <w:r>
        <w:rPr>
          <w:rFonts w:hint="eastAsia" w:ascii="宋体" w:hAnsi="宋体" w:eastAsia="宋体" w:cs="宋体"/>
          <w:color w:val="000000"/>
          <w:kern w:val="0"/>
          <w:sz w:val="24"/>
          <w:szCs w:val="24"/>
          <w:lang w:val="en-US" w:eastAsia="zh-CN" w:bidi="ar"/>
        </w:rPr>
        <w:t>                                                                                       单位：%</w:t>
      </w:r>
    </w:p>
    <w:tbl>
      <w:tblPr>
        <w:tblW w:w="7848" w:type="dxa"/>
        <w:jc w:val="center"/>
        <w:tblInd w:w="33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608"/>
        <w:gridCol w:w="1080"/>
        <w:gridCol w:w="1080"/>
        <w:gridCol w:w="1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jc w:val="center"/>
        </w:trPr>
        <w:tc>
          <w:tcPr>
            <w:tcW w:w="460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4"/>
                <w:szCs w:val="24"/>
                <w:lang w:val="en-US" w:eastAsia="zh-CN" w:bidi="ar"/>
              </w:rPr>
              <w:t>指   标</w:t>
            </w:r>
          </w:p>
        </w:tc>
        <w:tc>
          <w:tcPr>
            <w:tcW w:w="1080" w:type="dxa"/>
            <w:vMerge w:val="restart"/>
            <w:tcBorders>
              <w:top w:val="single" w:color="auto" w:sz="8" w:space="0"/>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1" w:after="0" w:afterAutospacing="1"/>
              <w:ind w:left="0" w:right="0" w:firstLine="241"/>
              <w:jc w:val="left"/>
            </w:pPr>
            <w:r>
              <w:rPr>
                <w:rFonts w:hint="eastAsia" w:ascii="宋体" w:hAnsi="宋体" w:eastAsia="宋体" w:cs="宋体"/>
                <w:b/>
                <w:color w:val="000000"/>
                <w:kern w:val="0"/>
                <w:sz w:val="24"/>
                <w:szCs w:val="24"/>
                <w:lang w:val="en-US" w:eastAsia="zh-CN" w:bidi="ar"/>
              </w:rPr>
              <w:t>全省</w:t>
            </w:r>
          </w:p>
        </w:tc>
        <w:tc>
          <w:tcPr>
            <w:tcW w:w="2160" w:type="dxa"/>
            <w:gridSpan w:val="2"/>
            <w:tcBorders>
              <w:top w:val="single" w:color="auto" w:sz="8" w:space="0"/>
              <w:left w:val="nil"/>
              <w:bottom w:val="single" w:color="auto" w:sz="8" w:space="0"/>
              <w:right w:val="nil"/>
            </w:tcBorders>
            <w:shd w:val="clear"/>
            <w:tcMar>
              <w:left w:w="108" w:type="dxa"/>
              <w:right w:w="108"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jc w:val="center"/>
        </w:trPr>
        <w:tc>
          <w:tcPr>
            <w:tcW w:w="460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single" w:color="auto" w:sz="8" w:space="0"/>
              <w:left w:val="nil"/>
              <w:bottom w:val="single" w:color="auto" w:sz="8" w:space="0"/>
              <w:right w:val="nil"/>
            </w:tcBorders>
            <w:shd w:val="clear"/>
            <w:tcMar>
              <w:left w:w="108" w:type="dxa"/>
              <w:right w:w="108" w:type="dxa"/>
            </w:tcMar>
            <w:vAlign w:val="center"/>
          </w:tcPr>
          <w:p>
            <w:pPr>
              <w:rPr>
                <w:rFonts w:hint="eastAsia" w:ascii="宋体"/>
                <w:sz w:val="24"/>
                <w:szCs w:val="24"/>
              </w:rPr>
            </w:pPr>
          </w:p>
        </w:tc>
        <w:tc>
          <w:tcPr>
            <w:tcW w:w="108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4"/>
                <w:szCs w:val="24"/>
                <w:lang w:val="en-US" w:eastAsia="zh-CN" w:bidi="ar"/>
              </w:rPr>
              <w:t>城市</w:t>
            </w:r>
          </w:p>
        </w:tc>
        <w:tc>
          <w:tcPr>
            <w:tcW w:w="1080"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24"/>
                <w:szCs w:val="24"/>
                <w:lang w:val="en-US" w:eastAsia="zh-CN" w:bidi="ar"/>
              </w:rPr>
              <w:t>农村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4"/>
                <w:szCs w:val="24"/>
                <w:lang w:val="en-US" w:eastAsia="zh-CN" w:bidi="ar"/>
              </w:rPr>
              <w:t>居民消费价格</w:t>
            </w:r>
          </w:p>
        </w:tc>
        <w:tc>
          <w:tcPr>
            <w:tcW w:w="1080" w:type="dxa"/>
            <w:tcBorders>
              <w:top w:val="nil"/>
              <w:left w:val="nil"/>
              <w:bottom w:val="nil"/>
              <w:right w:val="single" w:color="auto" w:sz="8" w:space="0"/>
            </w:tcBorders>
            <w:shd w:val="clear"/>
            <w:tcMar>
              <w:left w:w="108" w:type="dxa"/>
              <w:right w:w="284"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2.7</w:t>
            </w:r>
          </w:p>
        </w:tc>
        <w:tc>
          <w:tcPr>
            <w:tcW w:w="1080" w:type="dxa"/>
            <w:tcBorders>
              <w:top w:val="nil"/>
              <w:left w:val="nil"/>
              <w:bottom w:val="nil"/>
              <w:right w:val="single" w:color="auto" w:sz="8" w:space="0"/>
            </w:tcBorders>
            <w:shd w:val="clear"/>
            <w:tcMar>
              <w:left w:w="108" w:type="dxa"/>
              <w:right w:w="284"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3.0</w:t>
            </w:r>
          </w:p>
        </w:tc>
        <w:tc>
          <w:tcPr>
            <w:tcW w:w="1080" w:type="dxa"/>
            <w:tcBorders>
              <w:top w:val="nil"/>
              <w:left w:val="nil"/>
              <w:bottom w:val="nil"/>
              <w:right w:val="nil"/>
            </w:tcBorders>
            <w:shd w:val="clear"/>
            <w:tcMar>
              <w:left w:w="108" w:type="dxa"/>
              <w:right w:w="284"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40"/>
              <w:jc w:val="left"/>
            </w:pPr>
            <w:r>
              <w:rPr>
                <w:rFonts w:hint="eastAsia" w:ascii="宋体" w:hAnsi="宋体" w:eastAsia="宋体" w:cs="宋体"/>
                <w:color w:val="000000"/>
                <w:kern w:val="0"/>
                <w:sz w:val="24"/>
                <w:szCs w:val="24"/>
                <w:lang w:val="en-US" w:eastAsia="zh-CN" w:bidi="ar"/>
              </w:rPr>
              <w:t>食  品</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6.2</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6.9</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4.9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color w:val="000000"/>
                <w:kern w:val="0"/>
                <w:sz w:val="24"/>
                <w:szCs w:val="24"/>
                <w:lang w:val="en-US" w:eastAsia="zh-CN" w:bidi="ar"/>
              </w:rPr>
              <w:t>其中：粮食</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3.5</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3.6</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1200"/>
              <w:jc w:val="left"/>
            </w:pPr>
            <w:r>
              <w:rPr>
                <w:rFonts w:hint="eastAsia" w:ascii="宋体" w:hAnsi="宋体" w:eastAsia="宋体" w:cs="宋体"/>
                <w:color w:val="000000"/>
                <w:kern w:val="0"/>
                <w:sz w:val="24"/>
                <w:szCs w:val="24"/>
                <w:lang w:val="en-US" w:eastAsia="zh-CN" w:bidi="ar"/>
              </w:rPr>
              <w:t>油脂</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2.9</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5.0</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1200"/>
              <w:jc w:val="left"/>
            </w:pPr>
            <w:r>
              <w:rPr>
                <w:rFonts w:hint="eastAsia" w:ascii="宋体" w:hAnsi="宋体" w:eastAsia="宋体" w:cs="宋体"/>
                <w:color w:val="000000"/>
                <w:kern w:val="0"/>
                <w:sz w:val="24"/>
                <w:szCs w:val="24"/>
                <w:lang w:val="en-US" w:eastAsia="zh-CN" w:bidi="ar"/>
              </w:rPr>
              <w:t>肉禽及其制品</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3.1</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2.0</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5.0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40"/>
              <w:jc w:val="left"/>
            </w:pPr>
            <w:r>
              <w:rPr>
                <w:rFonts w:hint="eastAsia" w:ascii="宋体" w:hAnsi="宋体" w:eastAsia="宋体" w:cs="宋体"/>
                <w:color w:val="000000"/>
                <w:kern w:val="0"/>
                <w:sz w:val="24"/>
                <w:szCs w:val="24"/>
                <w:lang w:val="en-US" w:eastAsia="zh-CN" w:bidi="ar"/>
              </w:rPr>
              <w:t>烟酒及用品</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0.6</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0.8</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40"/>
              <w:jc w:val="left"/>
            </w:pPr>
            <w:r>
              <w:rPr>
                <w:rFonts w:hint="eastAsia" w:ascii="宋体" w:hAnsi="宋体" w:eastAsia="宋体" w:cs="宋体"/>
                <w:color w:val="000000"/>
                <w:kern w:val="0"/>
                <w:sz w:val="24"/>
                <w:szCs w:val="24"/>
                <w:lang w:val="en-US" w:eastAsia="zh-CN" w:bidi="ar"/>
              </w:rPr>
              <w:t>衣  着</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-1.3</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-2.3</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0.6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40"/>
              <w:jc w:val="left"/>
            </w:pPr>
            <w:r>
              <w:rPr>
                <w:rFonts w:hint="eastAsia" w:ascii="宋体" w:hAnsi="宋体" w:eastAsia="宋体" w:cs="宋体"/>
                <w:color w:val="000000"/>
                <w:kern w:val="0"/>
                <w:sz w:val="24"/>
                <w:szCs w:val="24"/>
                <w:lang w:val="en-US" w:eastAsia="zh-CN" w:bidi="ar"/>
              </w:rPr>
              <w:t>家庭设备用品及维修服务</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1.4</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1.8</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0.7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40"/>
              <w:jc w:val="left"/>
            </w:pPr>
            <w:r>
              <w:rPr>
                <w:rFonts w:hint="eastAsia" w:ascii="宋体" w:hAnsi="宋体" w:eastAsia="宋体" w:cs="宋体"/>
                <w:color w:val="000000"/>
                <w:kern w:val="0"/>
                <w:sz w:val="24"/>
                <w:szCs w:val="24"/>
                <w:lang w:val="en-US" w:eastAsia="zh-CN" w:bidi="ar"/>
              </w:rPr>
              <w:t>医疗保健及个人用品</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1.6</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1.9</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40"/>
              <w:jc w:val="left"/>
            </w:pPr>
            <w:r>
              <w:rPr>
                <w:rFonts w:hint="eastAsia" w:ascii="宋体" w:hAnsi="宋体" w:eastAsia="宋体" w:cs="宋体"/>
                <w:color w:val="000000"/>
                <w:kern w:val="0"/>
                <w:sz w:val="24"/>
                <w:szCs w:val="24"/>
                <w:lang w:val="en-US" w:eastAsia="zh-CN" w:bidi="ar"/>
              </w:rPr>
              <w:t>交通和通信</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0.2</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0.2</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40"/>
              <w:jc w:val="left"/>
            </w:pPr>
            <w:r>
              <w:rPr>
                <w:rFonts w:hint="eastAsia" w:ascii="宋体" w:hAnsi="宋体" w:eastAsia="宋体" w:cs="宋体"/>
                <w:color w:val="000000"/>
                <w:kern w:val="0"/>
                <w:sz w:val="24"/>
                <w:szCs w:val="24"/>
                <w:lang w:val="en-US" w:eastAsia="zh-CN" w:bidi="ar"/>
              </w:rPr>
              <w:t>娱乐教育文化用品及服务</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1.2</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1.7</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6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40"/>
              <w:jc w:val="left"/>
            </w:pPr>
            <w:r>
              <w:rPr>
                <w:rFonts w:hint="eastAsia" w:ascii="宋体" w:hAnsi="宋体" w:eastAsia="宋体" w:cs="宋体"/>
                <w:color w:val="000000"/>
                <w:kern w:val="0"/>
                <w:sz w:val="24"/>
                <w:szCs w:val="24"/>
                <w:lang w:val="en-US" w:eastAsia="zh-CN" w:bidi="ar"/>
              </w:rPr>
              <w:t>居  住</w:t>
            </w:r>
          </w:p>
        </w:tc>
        <w:tc>
          <w:tcPr>
            <w:tcW w:w="1080" w:type="dxa"/>
            <w:tcBorders>
              <w:top w:val="nil"/>
              <w:left w:val="nil"/>
              <w:bottom w:val="single" w:color="auto" w:sz="8" w:space="0"/>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2.2</w:t>
            </w:r>
          </w:p>
        </w:tc>
        <w:tc>
          <w:tcPr>
            <w:tcW w:w="1080" w:type="dxa"/>
            <w:tcBorders>
              <w:top w:val="nil"/>
              <w:left w:val="nil"/>
              <w:bottom w:val="single" w:color="auto" w:sz="8" w:space="0"/>
              <w:right w:val="single" w:color="auto" w:sz="8" w:space="0"/>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2.1</w:t>
            </w:r>
          </w:p>
        </w:tc>
        <w:tc>
          <w:tcPr>
            <w:tcW w:w="1080" w:type="dxa"/>
            <w:tcBorders>
              <w:top w:val="nil"/>
              <w:left w:val="nil"/>
              <w:bottom w:val="single" w:color="auto" w:sz="8" w:space="0"/>
              <w:right w:val="nil"/>
            </w:tcBorders>
            <w:shd w:val="clear"/>
            <w:tcMar>
              <w:left w:w="108" w:type="dxa"/>
              <w:right w:w="284"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color w:val="000000"/>
                <w:kern w:val="0"/>
                <w:sz w:val="24"/>
                <w:szCs w:val="24"/>
                <w:lang w:val="en-US" w:eastAsia="zh-CN" w:bidi="ar"/>
              </w:rPr>
              <w:t>2.2</w:t>
            </w:r>
          </w:p>
        </w:tc>
      </w:tr>
    </w:tbl>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color w:val="000000"/>
          <w:kern w:val="0"/>
          <w:sz w:val="24"/>
          <w:szCs w:val="24"/>
          <w:lang w:val="en-US" w:eastAsia="zh-CN" w:bidi="ar"/>
        </w:rPr>
        <w:t>注：居民消费价格及相关价格指数由国家统计局云南调查总队提供。</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 全年就业形势稳定。全省城镇新增就业人数29.3万人，新增转移就业的农村劳动力39.5万人次。年末全省城镇实有登记失业人数17.4万人，城镇登记失业率为4.03%。</w:t>
      </w:r>
    </w:p>
    <w:p>
      <w:pPr>
        <w:keepNext w:val="0"/>
        <w:keepLines w:val="0"/>
        <w:widowControl/>
        <w:suppressLineNumbers w:val="0"/>
        <w:spacing w:before="0" w:beforeAutospacing="1" w:after="0" w:afterAutospacing="1" w:line="360" w:lineRule="auto"/>
        <w:ind w:left="0" w:right="0" w:firstLine="2036"/>
        <w:jc w:val="left"/>
      </w:pPr>
      <w:r>
        <w:rPr>
          <w:rFonts w:hint="eastAsia" w:ascii="宋体" w:hAnsi="宋体" w:eastAsia="宋体" w:cs="宋体"/>
          <w:b/>
          <w:kern w:val="0"/>
          <w:sz w:val="24"/>
          <w:szCs w:val="24"/>
          <w:lang w:val="en-US" w:eastAsia="zh-CN" w:bidi="ar"/>
        </w:rPr>
        <w:t> 二、农     业</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2012年，全省农业总产值达2680.1亿元，比上年增长7.0%。其中，种植业产值1381.8亿元，增长5.4%；林业产值223亿元，增长10.0%；畜牧业产值929.70亿元，增长7.8%；渔业产值65.35亿元，增长14.1%；农林牧渔服务业产值80.27亿元，增长8.2%。</w:t>
      </w:r>
    </w:p>
    <w:p>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color w:val="000000"/>
          <w:kern w:val="0"/>
          <w:sz w:val="24"/>
          <w:szCs w:val="24"/>
          <w:lang w:val="en-US" w:eastAsia="zh-CN" w:bidi="ar"/>
        </w:rPr>
        <w:t>   全年粮食总产量</w:t>
      </w:r>
      <w:r>
        <w:rPr>
          <w:rFonts w:hint="eastAsia" w:ascii="宋体" w:hAnsi="宋体" w:eastAsia="宋体" w:cs="宋体"/>
          <w:color w:val="000000"/>
          <w:kern w:val="0"/>
          <w:sz w:val="24"/>
          <w:szCs w:val="24"/>
          <w:vertAlign w:val="superscript"/>
          <w:lang w:val="en-US" w:eastAsia="zh-CN" w:bidi="ar"/>
        </w:rPr>
        <w:t>[3]</w:t>
      </w:r>
      <w:r>
        <w:rPr>
          <w:rFonts w:hint="eastAsia" w:ascii="宋体" w:hAnsi="宋体" w:eastAsia="宋体" w:cs="宋体"/>
          <w:color w:val="000000"/>
          <w:kern w:val="0"/>
          <w:sz w:val="24"/>
          <w:szCs w:val="24"/>
          <w:lang w:val="en-US" w:eastAsia="zh-CN" w:bidi="ar"/>
        </w:rPr>
        <w:t>达1749.1万吨，比上年增长4.5%。油料产量62.84万吨，比上年增长3.4%；烤烟产量111.05万吨，增长9.1%；蔬菜产量1472.66万吨，增长9.9%；园林水果产量510.72万吨，增长26.0%；茶叶产量27.17万吨，增长14.0%；鲜切花产量72.5亿枝，增长11.5%。</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全年猪、牛、羊、禽肉总产量</w:t>
      </w:r>
      <w:r>
        <w:rPr>
          <w:rFonts w:hint="eastAsia" w:ascii="宋体" w:hAnsi="宋体" w:eastAsia="宋体" w:cs="宋体"/>
          <w:color w:val="000000"/>
          <w:kern w:val="0"/>
          <w:sz w:val="24"/>
          <w:szCs w:val="24"/>
          <w:vertAlign w:val="superscript"/>
          <w:lang w:val="en-US" w:eastAsia="zh-CN" w:bidi="ar"/>
        </w:rPr>
        <w:t>[4]</w:t>
      </w:r>
      <w:r>
        <w:rPr>
          <w:rFonts w:hint="eastAsia" w:ascii="宋体" w:hAnsi="宋体" w:eastAsia="宋体" w:cs="宋体"/>
          <w:color w:val="000000"/>
          <w:kern w:val="0"/>
          <w:sz w:val="24"/>
          <w:szCs w:val="24"/>
          <w:lang w:val="en-US" w:eastAsia="zh-CN" w:bidi="ar"/>
        </w:rPr>
        <w:t>达345.86万吨，比上年增长7.6%；牛奶产量53.69万吨，增长2.5%；禽蛋产量22.1万吨，增长2.2%。</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表2  2012年云南省主要农产品产量及其增长速度</w:t>
      </w:r>
    </w:p>
    <w:p>
      <w:pPr>
        <w:keepNext w:val="0"/>
        <w:keepLines w:val="0"/>
        <w:widowControl/>
        <w:suppressLineNumbers w:val="0"/>
        <w:tabs>
          <w:tab w:val="left" w:pos="7110"/>
        </w:tabs>
        <w:spacing w:before="0" w:beforeAutospacing="1" w:after="0" w:afterAutospacing="1"/>
        <w:ind w:left="0" w:right="0"/>
        <w:jc w:val="center"/>
      </w:pPr>
      <w:r>
        <w:rPr>
          <w:rFonts w:hint="eastAsia" w:ascii="宋体" w:hAnsi="宋体" w:eastAsia="宋体" w:cs="宋体"/>
          <w:kern w:val="0"/>
          <w:sz w:val="24"/>
          <w:szCs w:val="24"/>
          <w:lang w:val="en-US" w:eastAsia="zh-CN" w:bidi="ar"/>
        </w:rPr>
        <w:t xml:space="preserve">                                                    单位：万吨  </w:t>
      </w:r>
    </w:p>
    <w:tbl>
      <w:tblPr>
        <w:tblW w:w="7200" w:type="dxa"/>
        <w:jc w:val="center"/>
        <w:tblInd w:w="5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558"/>
        <w:gridCol w:w="1569"/>
        <w:gridCol w:w="733"/>
        <w:gridCol w:w="1607"/>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4" w:hRule="atLeast"/>
          <w:jc w:val="center"/>
        </w:trPr>
        <w:tc>
          <w:tcPr>
            <w:tcW w:w="2558" w:type="dxa"/>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产品名称</w:t>
            </w:r>
          </w:p>
        </w:tc>
        <w:tc>
          <w:tcPr>
            <w:tcW w:w="2302" w:type="dxa"/>
            <w:gridSpan w:val="2"/>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产  量</w:t>
            </w:r>
          </w:p>
        </w:tc>
        <w:tc>
          <w:tcPr>
            <w:tcW w:w="2340" w:type="dxa"/>
            <w:gridSpan w:val="2"/>
            <w:tcBorders>
              <w:top w:val="single" w:color="auto" w:sz="12" w:space="0"/>
              <w:left w:val="nil"/>
              <w:bottom w:val="single" w:color="auto" w:sz="8" w:space="0"/>
              <w:right w:val="nil"/>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粮  食</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1749.1</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4.5</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油  料</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62.84</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3.4</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甘  蔗</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2043.78</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7.6</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烤  烟</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111.05</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9.1</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蔬  菜</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1472.66</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9.9</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花  卉（亿枝）</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72.50</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11.5</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园林水果</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510.72</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26.0</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茶  叶</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27.17</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14.0</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橡  胶</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38.98</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7.3</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核  桃</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41.48</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33.8</w:t>
            </w:r>
          </w:p>
        </w:tc>
        <w:tc>
          <w:tcPr>
            <w:tcW w:w="733" w:type="dxa"/>
            <w:shd w:val="clear"/>
            <w:vAlign w:val="bottom"/>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咖  啡</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9.18</w:t>
            </w:r>
          </w:p>
        </w:tc>
        <w:tc>
          <w:tcPr>
            <w:tcW w:w="733" w:type="dxa"/>
            <w:tcBorders>
              <w:top w:val="nil"/>
              <w:left w:val="nil"/>
              <w:bottom w:val="nil"/>
              <w:right w:val="single" w:color="auto" w:sz="8" w:space="0"/>
            </w:tcBorders>
            <w:shd w:val="clear"/>
            <w:vAlign w:val="bottom"/>
          </w:tcPr>
          <w:p>
            <w:pPr>
              <w:rPr>
                <w:rFonts w:hint="eastAsia" w:ascii="宋体"/>
                <w:sz w:val="24"/>
                <w:szCs w:val="24"/>
              </w:rPr>
            </w:pP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41.0</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single" w:color="auto" w:sz="12"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水产品</w:t>
            </w:r>
          </w:p>
        </w:tc>
        <w:tc>
          <w:tcPr>
            <w:tcW w:w="1569" w:type="dxa"/>
            <w:tcBorders>
              <w:top w:val="nil"/>
              <w:left w:val="nil"/>
              <w:bottom w:val="single" w:color="auto" w:sz="12" w:space="0"/>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68.01</w:t>
            </w:r>
          </w:p>
        </w:tc>
        <w:tc>
          <w:tcPr>
            <w:tcW w:w="733" w:type="dxa"/>
            <w:tcBorders>
              <w:top w:val="nil"/>
              <w:left w:val="nil"/>
              <w:bottom w:val="single" w:color="auto" w:sz="12" w:space="0"/>
              <w:right w:val="single" w:color="auto" w:sz="8" w:space="0"/>
            </w:tcBorders>
            <w:shd w:val="clear"/>
            <w:vAlign w:val="bottom"/>
          </w:tcPr>
          <w:p>
            <w:pPr>
              <w:rPr>
                <w:rFonts w:hint="eastAsia" w:ascii="宋体"/>
                <w:sz w:val="24"/>
                <w:szCs w:val="24"/>
              </w:rPr>
            </w:pPr>
          </w:p>
        </w:tc>
        <w:tc>
          <w:tcPr>
            <w:tcW w:w="1607" w:type="dxa"/>
            <w:tcBorders>
              <w:top w:val="nil"/>
              <w:left w:val="nil"/>
              <w:bottom w:val="single" w:color="auto" w:sz="12" w:space="0"/>
              <w:right w:val="nil"/>
            </w:tcBorders>
            <w:shd w:val="clear"/>
            <w:vAlign w:val="bottom"/>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23.9</w:t>
            </w:r>
          </w:p>
        </w:tc>
        <w:tc>
          <w:tcPr>
            <w:tcW w:w="733" w:type="dxa"/>
            <w:tcBorders>
              <w:top w:val="nil"/>
              <w:left w:val="nil"/>
              <w:bottom w:val="single" w:color="auto" w:sz="12" w:space="0"/>
              <w:right w:val="nil"/>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bl>
    <w:p>
      <w:pPr>
        <w:keepNext w:val="0"/>
        <w:keepLines w:val="0"/>
        <w:widowControl/>
        <w:suppressLineNumbers w:val="0"/>
        <w:spacing w:before="0" w:beforeAutospacing="1" w:after="0" w:afterAutospacing="1" w:line="360" w:lineRule="auto"/>
        <w:ind w:left="0" w:right="0"/>
        <w:jc w:val="center"/>
      </w:pPr>
      <w:r>
        <w:rPr>
          <w:rFonts w:hint="eastAsia" w:ascii="宋体" w:hAnsi="宋体" w:eastAsia="宋体" w:cs="宋体"/>
          <w:b/>
          <w:kern w:val="0"/>
          <w:sz w:val="24"/>
          <w:szCs w:val="24"/>
          <w:lang w:val="en-US" w:eastAsia="zh-CN" w:bidi="ar"/>
        </w:rPr>
        <w:t>三、工业和建筑业</w:t>
      </w:r>
    </w:p>
    <w:p>
      <w:pPr>
        <w:keepNext w:val="0"/>
        <w:keepLines w:val="0"/>
        <w:widowControl/>
        <w:suppressLineNumbers w:val="0"/>
        <w:spacing w:before="0" w:beforeAutospacing="1" w:after="0" w:afterAutospacing="1" w:line="360" w:lineRule="auto"/>
        <w:ind w:left="0" w:right="0" w:firstLine="482"/>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全年全部工业实现增加值3450.72亿元,比上年增长15.1%；其中，规模以上工业</w:t>
      </w:r>
      <w:r>
        <w:rPr>
          <w:rFonts w:hint="eastAsia" w:ascii="宋体" w:hAnsi="宋体" w:eastAsia="宋体" w:cs="宋体"/>
          <w:kern w:val="0"/>
          <w:sz w:val="24"/>
          <w:szCs w:val="24"/>
          <w:vertAlign w:val="superscript"/>
          <w:lang w:val="en-US" w:eastAsia="zh-CN" w:bidi="ar"/>
        </w:rPr>
        <w:t>[5]</w:t>
      </w:r>
      <w:r>
        <w:rPr>
          <w:rFonts w:hint="eastAsia" w:ascii="宋体" w:hAnsi="宋体" w:eastAsia="宋体" w:cs="宋体"/>
          <w:kern w:val="0"/>
          <w:sz w:val="24"/>
          <w:szCs w:val="24"/>
          <w:lang w:val="en-US" w:eastAsia="zh-CN" w:bidi="ar"/>
        </w:rPr>
        <w:t>增加值3084.96亿元，增长15.6%。在规模以上工业中，轻工业增加值1353.79亿元，增长17.1%；重工业增加值1731.17亿元，增长14.4%。</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规模以上工业中，烟草制品业增加值976.25亿元，比上年增长13.2%；电力生产和供应业增加值332.49亿元，增长10.1%。六大高耗能行业增加值1303.17亿元，比上年增长12.0%，其中，化学原料及化学制品制造业增长9.6%、非金属矿物制品业增长17.1%、电力热力的生产和供应业增长10.1%、黑色金属冶炼及压延加工业增长5.6%、有色金属冶炼及压延加工业增长19.7%、石油加工炼焦及核燃料加工业下降3.7%。</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全年规模以上工业发电量1533.94亿千瓦小时，增长14.5%；</w:t>
      </w:r>
      <w:r>
        <w:rPr>
          <w:rFonts w:hint="eastAsia" w:ascii="宋体" w:hAnsi="宋体" w:eastAsia="宋体" w:cs="宋体"/>
          <w:kern w:val="0"/>
          <w:sz w:val="24"/>
          <w:szCs w:val="24"/>
          <w:lang w:val="en-US" w:eastAsia="zh-CN" w:bidi="ar"/>
        </w:rPr>
        <w:t>粗钢产量1526.69万吨，增长</w:t>
      </w:r>
      <w:r>
        <w:rPr>
          <w:rFonts w:hint="eastAsia" w:ascii="宋体" w:hAnsi="宋体" w:eastAsia="宋体" w:cs="宋体"/>
          <w:color w:val="000000"/>
          <w:kern w:val="0"/>
          <w:sz w:val="24"/>
          <w:szCs w:val="24"/>
          <w:lang w:val="en-US" w:eastAsia="zh-CN" w:bidi="ar"/>
        </w:rPr>
        <w:t>14.6%；</w:t>
      </w:r>
      <w:r>
        <w:rPr>
          <w:rFonts w:hint="eastAsia" w:ascii="宋体" w:hAnsi="宋体" w:eastAsia="宋体" w:cs="宋体"/>
          <w:kern w:val="0"/>
          <w:sz w:val="24"/>
          <w:szCs w:val="24"/>
          <w:lang w:val="en-US" w:eastAsia="zh-CN" w:bidi="ar"/>
        </w:rPr>
        <w:t>钢材产量1600.40万吨，增长</w:t>
      </w:r>
      <w:r>
        <w:rPr>
          <w:rFonts w:hint="eastAsia" w:ascii="宋体" w:hAnsi="宋体" w:eastAsia="宋体" w:cs="宋体"/>
          <w:color w:val="000000"/>
          <w:kern w:val="0"/>
          <w:sz w:val="24"/>
          <w:szCs w:val="24"/>
          <w:lang w:val="en-US" w:eastAsia="zh-CN" w:bidi="ar"/>
        </w:rPr>
        <w:t>16.8%；</w:t>
      </w:r>
      <w:r>
        <w:rPr>
          <w:rFonts w:hint="eastAsia" w:ascii="宋体" w:hAnsi="宋体" w:eastAsia="宋体" w:cs="宋体"/>
          <w:kern w:val="0"/>
          <w:sz w:val="24"/>
          <w:szCs w:val="24"/>
          <w:lang w:val="en-US" w:eastAsia="zh-CN" w:bidi="ar"/>
        </w:rPr>
        <w:t>十种有色金属产量286.46万吨，增长5.0%；水泥产量7793.66万吨，增长17.3%；卷烟产量768.23万箱，增长5.2%；成品糖产量205.93万吨，增长21.6%。</w:t>
      </w:r>
    </w:p>
    <w:p>
      <w:pPr>
        <w:keepNext w:val="0"/>
        <w:keepLines w:val="0"/>
        <w:widowControl/>
        <w:suppressLineNumbers w:val="0"/>
        <w:spacing w:before="0" w:beforeAutospacing="1" w:after="0" w:afterAutospacing="1" w:line="360" w:lineRule="auto"/>
        <w:ind w:left="0" w:right="0" w:firstLine="1899"/>
        <w:jc w:val="left"/>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1899"/>
        <w:jc w:val="left"/>
      </w:pPr>
      <w:r>
        <w:rPr>
          <w:rFonts w:hint="eastAsia" w:ascii="宋体" w:hAnsi="宋体" w:eastAsia="宋体" w:cs="宋体"/>
          <w:b/>
          <w:kern w:val="0"/>
          <w:sz w:val="24"/>
          <w:szCs w:val="24"/>
          <w:lang w:val="en-US" w:eastAsia="zh-CN" w:bidi="ar"/>
        </w:rPr>
        <w:t xml:space="preserve"> 表3  2012年云南省主要工业产品产量及其增长速度</w:t>
      </w:r>
    </w:p>
    <w:tbl>
      <w:tblPr>
        <w:tblW w:w="7969" w:type="dxa"/>
        <w:jc w:val="center"/>
        <w:tblInd w:w="1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310"/>
        <w:gridCol w:w="1923"/>
        <w:gridCol w:w="1798"/>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569" w:hRule="atLeast"/>
          <w:jc w:val="center"/>
        </w:trPr>
        <w:tc>
          <w:tcPr>
            <w:tcW w:w="2310" w:type="dxa"/>
            <w:tcBorders>
              <w:top w:val="single" w:color="auto" w:sz="12" w:space="0"/>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产 品 名 称</w:t>
            </w:r>
          </w:p>
        </w:tc>
        <w:tc>
          <w:tcPr>
            <w:tcW w:w="1923" w:type="dxa"/>
            <w:tcBorders>
              <w:top w:val="single" w:color="auto" w:sz="12" w:space="0"/>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单  位</w:t>
            </w:r>
          </w:p>
        </w:tc>
        <w:tc>
          <w:tcPr>
            <w:tcW w:w="1798" w:type="dxa"/>
            <w:tcBorders>
              <w:top w:val="single" w:color="auto" w:sz="12" w:space="0"/>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产 量</w:t>
            </w:r>
          </w:p>
        </w:tc>
        <w:tc>
          <w:tcPr>
            <w:tcW w:w="1938" w:type="dxa"/>
            <w:tcBorders>
              <w:top w:val="single" w:color="auto" w:sz="12" w:space="0"/>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发电量</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亿千瓦小时</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1533.94</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其中：水电</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亿千瓦小时</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1038.11</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火电</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亿千瓦小时</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468.50</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铁矿石原矿量</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2621.89</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粗  钢</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1526.69</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钢  材</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1600.40</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十种有色金属</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286.46</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其中：铜</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44.92</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原铝</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89.47</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铅</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55.81</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锌</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85.15</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锡</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8.68</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硫  酸（折100%）</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1210.55</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烧  碱（折100%）</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22.93</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化  肥（折100%）</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345.43</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卷  烟</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万箱</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768.23</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成品糖</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205.93</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xml:space="preserve">精制茶叶 </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8.97</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中成药</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480"/>
              <w:jc w:val="right"/>
            </w:pPr>
            <w:r>
              <w:rPr>
                <w:rFonts w:hint="eastAsia" w:ascii="宋体" w:hAnsi="宋体" w:eastAsia="宋体" w:cs="宋体"/>
                <w:kern w:val="0"/>
                <w:sz w:val="24"/>
                <w:szCs w:val="24"/>
                <w:lang w:val="en-US" w:eastAsia="zh-CN" w:bidi="ar"/>
              </w:rPr>
              <w:t>3.17</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自来水生产量</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亿立方米</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480"/>
              <w:jc w:val="right"/>
            </w:pPr>
            <w:r>
              <w:rPr>
                <w:rFonts w:hint="eastAsia" w:ascii="宋体" w:hAnsi="宋体" w:eastAsia="宋体" w:cs="宋体"/>
                <w:kern w:val="0"/>
                <w:sz w:val="24"/>
                <w:szCs w:val="24"/>
                <w:lang w:val="en-US" w:eastAsia="zh-CN" w:bidi="ar"/>
              </w:rPr>
              <w:t>4.53</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机制纸及纸板</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51.46</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水  泥</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万吨</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7793.66</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平板玻璃</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万重量箱</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848.44</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人造板</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万立方米</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238.46</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发电设备</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万千瓦</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71.23</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变压器</w:t>
            </w:r>
          </w:p>
        </w:tc>
        <w:tc>
          <w:tcPr>
            <w:tcW w:w="1923"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万千伏安</w:t>
            </w:r>
          </w:p>
        </w:tc>
        <w:tc>
          <w:tcPr>
            <w:tcW w:w="1798"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1321.96</w:t>
            </w:r>
          </w:p>
        </w:tc>
        <w:tc>
          <w:tcPr>
            <w:tcW w:w="1938" w:type="dxa"/>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310" w:type="dxa"/>
            <w:tcBorders>
              <w:top w:val="nil"/>
              <w:left w:val="nil"/>
              <w:bottom w:val="single" w:color="auto" w:sz="12" w:space="0"/>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汽  车</w:t>
            </w:r>
          </w:p>
        </w:tc>
        <w:tc>
          <w:tcPr>
            <w:tcW w:w="1923" w:type="dxa"/>
            <w:tcBorders>
              <w:top w:val="nil"/>
              <w:left w:val="single" w:color="auto" w:sz="8" w:space="0"/>
              <w:bottom w:val="single" w:color="auto" w:sz="12" w:space="0"/>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 辆</w:t>
            </w:r>
          </w:p>
        </w:tc>
        <w:tc>
          <w:tcPr>
            <w:tcW w:w="1798" w:type="dxa"/>
            <w:tcBorders>
              <w:top w:val="nil"/>
              <w:left w:val="single" w:color="auto" w:sz="8" w:space="0"/>
              <w:bottom w:val="single" w:color="auto" w:sz="12" w:space="0"/>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10.90</w:t>
            </w:r>
          </w:p>
        </w:tc>
        <w:tc>
          <w:tcPr>
            <w:tcW w:w="1938" w:type="dxa"/>
            <w:tcBorders>
              <w:top w:val="nil"/>
              <w:left w:val="nil"/>
              <w:bottom w:val="single" w:color="auto" w:sz="12" w:space="0"/>
              <w:right w:val="nil"/>
            </w:tcBorders>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12.1</w:t>
            </w:r>
          </w:p>
        </w:tc>
      </w:tr>
    </w:tbl>
    <w:p>
      <w:pPr>
        <w:keepNext w:val="0"/>
        <w:keepLines w:val="0"/>
        <w:widowControl/>
        <w:suppressLineNumbers w:val="0"/>
        <w:spacing w:before="0" w:beforeAutospacing="1" w:after="0" w:afterAutospacing="1"/>
        <w:ind w:left="0" w:right="0" w:firstLine="48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全年规模以上工业企业累计实现利税1640.24亿元，比上年增长3.9%；其中实现利润507.71亿元，下降10.6%。</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全年全社会建筑业增加值968.38亿元，比上年增</w:t>
      </w:r>
      <w:r>
        <w:rPr>
          <w:rFonts w:hint="eastAsia" w:ascii="宋体" w:hAnsi="宋体" w:eastAsia="宋体" w:cs="宋体"/>
          <w:color w:val="000000"/>
          <w:kern w:val="0"/>
          <w:sz w:val="24"/>
          <w:szCs w:val="24"/>
          <w:lang w:val="en-US" w:eastAsia="zh-CN" w:bidi="ar"/>
        </w:rPr>
        <w:t>长21.0%</w:t>
      </w:r>
      <w:r>
        <w:rPr>
          <w:rFonts w:hint="eastAsia" w:ascii="宋体" w:hAnsi="宋体" w:eastAsia="宋体" w:cs="宋体"/>
          <w:kern w:val="0"/>
          <w:sz w:val="24"/>
          <w:szCs w:val="24"/>
          <w:lang w:val="en-US" w:eastAsia="zh-CN" w:bidi="ar"/>
        </w:rPr>
        <w:t>。全省具有资质等级的总承包和专业承包建筑业企业完成总产值2386.4亿元，比上年增长27.7%；实现利润80.0亿元，增长25.2%；上缴税金80.0亿元，增长12.0%。</w:t>
      </w:r>
    </w:p>
    <w:p>
      <w:pPr>
        <w:keepNext w:val="0"/>
        <w:keepLines w:val="0"/>
        <w:widowControl/>
        <w:suppressLineNumbers w:val="0"/>
        <w:spacing w:before="0" w:beforeAutospacing="1" w:after="0" w:afterAutospacing="1" w:line="360" w:lineRule="auto"/>
        <w:ind w:left="0" w:right="0" w:firstLine="120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1200"/>
        <w:jc w:val="left"/>
      </w:pPr>
      <w:r>
        <w:rPr>
          <w:rFonts w:hint="eastAsia" w:ascii="宋体" w:hAnsi="宋体" w:eastAsia="宋体" w:cs="宋体"/>
          <w:kern w:val="0"/>
          <w:sz w:val="24"/>
          <w:szCs w:val="24"/>
          <w:lang w:val="en-US" w:eastAsia="zh-CN" w:bidi="ar"/>
        </w:rPr>
        <w:t>四、固定资产投资和房地产业</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2012年，全省固定资产投资（不含农户）达</w:t>
      </w:r>
      <w:r>
        <w:rPr>
          <w:rFonts w:hint="eastAsia" w:ascii="宋体" w:hAnsi="宋体" w:eastAsia="宋体" w:cs="宋体"/>
          <w:kern w:val="0"/>
          <w:sz w:val="24"/>
          <w:szCs w:val="24"/>
          <w:vertAlign w:val="superscript"/>
          <w:lang w:val="en-US" w:eastAsia="zh-CN" w:bidi="ar"/>
        </w:rPr>
        <w:t>[6]</w:t>
      </w:r>
      <w:r>
        <w:rPr>
          <w:rFonts w:hint="eastAsia" w:ascii="宋体" w:hAnsi="宋体" w:eastAsia="宋体" w:cs="宋体"/>
          <w:kern w:val="0"/>
          <w:sz w:val="24"/>
          <w:szCs w:val="24"/>
          <w:lang w:val="en-US" w:eastAsia="zh-CN" w:bidi="ar"/>
        </w:rPr>
        <w:t>7553.51亿元，比上年增长27.3%。分三次产业看，</w:t>
      </w:r>
      <w:r>
        <w:rPr>
          <w:rFonts w:hint="eastAsia" w:ascii="宋体" w:hAnsi="宋体" w:eastAsia="宋体" w:cs="宋体"/>
          <w:color w:val="000000"/>
          <w:kern w:val="0"/>
          <w:sz w:val="24"/>
          <w:szCs w:val="24"/>
          <w:lang w:val="en-US" w:eastAsia="zh-CN" w:bidi="ar"/>
        </w:rPr>
        <w:t>第一产业投资143.13亿元，增长46.1%；第二产业投资2530.19亿元，增长29.3%，其中工业投资2526.41亿元，增长29.5%；第三产业投资4880.19亿元，增长25.8%。</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表4 .2012年云南分行业固定资产投资及其增长速度</w:t>
      </w:r>
    </w:p>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                                                         单位：亿元</w:t>
      </w:r>
    </w:p>
    <w:tbl>
      <w:tblPr>
        <w:tblW w:w="7731" w:type="dxa"/>
        <w:jc w:val="center"/>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116"/>
        <w:gridCol w:w="1712"/>
        <w:gridCol w:w="1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1" w:hRule="atLeast"/>
          <w:jc w:val="center"/>
        </w:trPr>
        <w:tc>
          <w:tcPr>
            <w:tcW w:w="4116" w:type="dxa"/>
            <w:tcBorders>
              <w:top w:val="single" w:color="auto" w:sz="8" w:space="0"/>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行            业</w:t>
            </w:r>
          </w:p>
        </w:tc>
        <w:tc>
          <w:tcPr>
            <w:tcW w:w="17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投资额</w:t>
            </w:r>
          </w:p>
        </w:tc>
        <w:tc>
          <w:tcPr>
            <w:tcW w:w="1903" w:type="dxa"/>
            <w:tcBorders>
              <w:top w:val="single" w:color="auto" w:sz="8" w:space="0"/>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firstLine="236"/>
              <w:jc w:val="left"/>
            </w:pPr>
            <w:r>
              <w:rPr>
                <w:rFonts w:hint="eastAsia" w:ascii="宋体" w:hAnsi="宋体" w:eastAsia="宋体" w:cs="宋体"/>
                <w:b/>
                <w:kern w:val="0"/>
                <w:sz w:val="24"/>
                <w:szCs w:val="24"/>
                <w:lang w:val="en-US" w:eastAsia="zh-CN" w:bidi="ar"/>
              </w:rPr>
              <w:t>全    省</w:t>
            </w:r>
          </w:p>
        </w:tc>
        <w:tc>
          <w:tcPr>
            <w:tcW w:w="1712"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420"/>
              <w:jc w:val="left"/>
            </w:pPr>
            <w:r>
              <w:rPr>
                <w:rFonts w:hint="eastAsia" w:ascii="宋体" w:hAnsi="宋体" w:eastAsia="宋体" w:cs="宋体"/>
                <w:kern w:val="0"/>
                <w:sz w:val="24"/>
                <w:szCs w:val="24"/>
                <w:lang w:val="en-US" w:eastAsia="zh-CN" w:bidi="ar"/>
              </w:rPr>
              <w:t>7553.51</w:t>
            </w:r>
          </w:p>
        </w:tc>
        <w:tc>
          <w:tcPr>
            <w:tcW w:w="1903"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农、林、牧、渔业</w:t>
            </w:r>
          </w:p>
        </w:tc>
        <w:tc>
          <w:tcPr>
            <w:tcW w:w="1712"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143.13</w:t>
            </w:r>
          </w:p>
        </w:tc>
        <w:tc>
          <w:tcPr>
            <w:tcW w:w="1903"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采矿业</w:t>
            </w:r>
          </w:p>
        </w:tc>
        <w:tc>
          <w:tcPr>
            <w:tcW w:w="1712"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368.33</w:t>
            </w:r>
          </w:p>
        </w:tc>
        <w:tc>
          <w:tcPr>
            <w:tcW w:w="1903" w:type="dxa"/>
            <w:shd w:val="clear"/>
            <w:tcMar>
              <w:left w:w="108" w:type="dxa"/>
              <w:right w:w="284" w:type="dxa"/>
            </w:tcMar>
            <w:vAlign w:val="bottom"/>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制造业</w:t>
            </w:r>
          </w:p>
        </w:tc>
        <w:tc>
          <w:tcPr>
            <w:tcW w:w="1712"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wordWrap w:val="0"/>
              <w:spacing w:before="0" w:beforeAutospacing="1" w:after="0" w:afterAutospacing="1"/>
              <w:ind w:left="0" w:right="420"/>
              <w:jc w:val="left"/>
            </w:pPr>
            <w:r>
              <w:rPr>
                <w:rFonts w:hint="eastAsia" w:ascii="宋体" w:hAnsi="宋体" w:eastAsia="宋体" w:cs="宋体"/>
                <w:kern w:val="0"/>
                <w:sz w:val="24"/>
                <w:szCs w:val="24"/>
                <w:lang w:val="en-US" w:eastAsia="zh-CN" w:bidi="ar"/>
              </w:rPr>
              <w:t>1207.12</w:t>
            </w:r>
          </w:p>
        </w:tc>
        <w:tc>
          <w:tcPr>
            <w:tcW w:w="1903" w:type="dxa"/>
            <w:shd w:val="clear"/>
            <w:tcMar>
              <w:left w:w="108" w:type="dxa"/>
              <w:right w:w="284" w:type="dxa"/>
            </w:tcMar>
            <w:vAlign w:val="bottom"/>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xml:space="preserve">  其中：烟草制品业 </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36.09</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xml:space="preserve">        化学原料及化学制品制造业 </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104.27</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xml:space="preserve">        医药制造业 </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35.18</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xml:space="preserve">        非金属矿物制品业 </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158.75</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xml:space="preserve">         黑色金属冶炼及压延加工业 </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85.00</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xml:space="preserve">         有色金属冶炼及压延加工业 </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134.74</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电力、煤气及水的生产和供应业</w:t>
            </w:r>
          </w:p>
        </w:tc>
        <w:tc>
          <w:tcPr>
            <w:tcW w:w="1712"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950.96</w:t>
            </w:r>
          </w:p>
        </w:tc>
        <w:tc>
          <w:tcPr>
            <w:tcW w:w="1903" w:type="dxa"/>
            <w:shd w:val="clear"/>
            <w:tcMar>
              <w:left w:w="108" w:type="dxa"/>
              <w:right w:w="284" w:type="dxa"/>
            </w:tcMar>
            <w:vAlign w:val="bottom"/>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建筑业</w:t>
            </w:r>
          </w:p>
        </w:tc>
        <w:tc>
          <w:tcPr>
            <w:tcW w:w="1712"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3.79</w:t>
            </w:r>
          </w:p>
        </w:tc>
        <w:tc>
          <w:tcPr>
            <w:tcW w:w="1903" w:type="dxa"/>
            <w:shd w:val="clear"/>
            <w:tcMar>
              <w:left w:w="108" w:type="dxa"/>
              <w:right w:w="284" w:type="dxa"/>
            </w:tcMar>
            <w:vAlign w:val="bottom"/>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交通运输、仓储和邮政业</w:t>
            </w:r>
          </w:p>
        </w:tc>
        <w:tc>
          <w:tcPr>
            <w:tcW w:w="1712"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804.63</w:t>
            </w:r>
          </w:p>
        </w:tc>
        <w:tc>
          <w:tcPr>
            <w:tcW w:w="1903" w:type="dxa"/>
            <w:shd w:val="clear"/>
            <w:tcMar>
              <w:left w:w="108" w:type="dxa"/>
              <w:right w:w="284" w:type="dxa"/>
            </w:tcMar>
            <w:vAlign w:val="bottom"/>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信息传输、计算机服务和软件业</w:t>
            </w:r>
          </w:p>
        </w:tc>
        <w:tc>
          <w:tcPr>
            <w:tcW w:w="1712"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59.70</w:t>
            </w:r>
          </w:p>
        </w:tc>
        <w:tc>
          <w:tcPr>
            <w:tcW w:w="1903" w:type="dxa"/>
            <w:shd w:val="clear"/>
            <w:tcMar>
              <w:left w:w="108" w:type="dxa"/>
              <w:right w:w="284" w:type="dxa"/>
            </w:tcMar>
            <w:vAlign w:val="bottom"/>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批发和零售业</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230.59</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住宿和餐饮业</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147.54</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金融业</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4.94</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房地产开发</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420"/>
              <w:jc w:val="left"/>
            </w:pPr>
            <w:r>
              <w:rPr>
                <w:rFonts w:hint="eastAsia" w:ascii="宋体" w:hAnsi="宋体" w:eastAsia="宋体" w:cs="宋体"/>
                <w:kern w:val="0"/>
                <w:sz w:val="24"/>
                <w:szCs w:val="24"/>
                <w:lang w:val="en-US" w:eastAsia="zh-CN" w:bidi="ar"/>
              </w:rPr>
              <w:t>1782.14</w:t>
            </w:r>
          </w:p>
        </w:tc>
        <w:tc>
          <w:tcPr>
            <w:tcW w:w="1903"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租赁和商务服务业</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52.30</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科学研究、技术服务和地质勘查业</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30.49</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水利、环境和公共设施管理业</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762.85</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居民服务和其他服务业</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22.54</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教育</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184.92</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卫生、社会保障和社会福利业</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70.46</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文化、体育和娱乐业</w:t>
            </w:r>
          </w:p>
        </w:tc>
        <w:tc>
          <w:tcPr>
            <w:tcW w:w="1712"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114.23</w:t>
            </w:r>
          </w:p>
        </w:tc>
        <w:tc>
          <w:tcPr>
            <w:tcW w:w="1903" w:type="dxa"/>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116" w:type="dxa"/>
            <w:tcBorders>
              <w:top w:val="nil"/>
              <w:left w:val="nil"/>
              <w:bottom w:val="single" w:color="auto" w:sz="12"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公共管理和社会组织</w:t>
            </w:r>
          </w:p>
        </w:tc>
        <w:tc>
          <w:tcPr>
            <w:tcW w:w="1712" w:type="dxa"/>
            <w:tcBorders>
              <w:top w:val="nil"/>
              <w:left w:val="single" w:color="auto" w:sz="8" w:space="0"/>
              <w:bottom w:val="single" w:color="auto" w:sz="12" w:space="0"/>
              <w:right w:val="single" w:color="auto" w:sz="8" w:space="0"/>
            </w:tcBorders>
            <w:shd w:val="clear"/>
            <w:noWrap/>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117.54</w:t>
            </w:r>
          </w:p>
        </w:tc>
        <w:tc>
          <w:tcPr>
            <w:tcW w:w="1903" w:type="dxa"/>
            <w:tcBorders>
              <w:top w:val="nil"/>
              <w:left w:val="nil"/>
              <w:bottom w:val="single" w:color="auto" w:sz="12" w:space="0"/>
              <w:right w:val="nil"/>
            </w:tcBorders>
            <w:shd w:val="clear"/>
            <w:tcMar>
              <w:left w:w="108" w:type="dxa"/>
              <w:right w:w="284" w:type="dxa"/>
            </w:tcMar>
            <w:vAlign w:val="top"/>
          </w:tcPr>
          <w:p>
            <w:pPr>
              <w:keepNext w:val="0"/>
              <w:keepLines w:val="0"/>
              <w:widowControl/>
              <w:suppressLineNumbers w:val="0"/>
              <w:wordWrap w:val="0"/>
              <w:spacing w:before="0" w:beforeAutospacing="1" w:after="0" w:afterAutospacing="1"/>
              <w:ind w:left="0" w:right="0" w:firstLine="600"/>
              <w:jc w:val="right"/>
            </w:pPr>
            <w:r>
              <w:rPr>
                <w:rFonts w:hint="eastAsia" w:ascii="宋体" w:hAnsi="宋体" w:eastAsia="宋体" w:cs="宋体"/>
                <w:kern w:val="0"/>
                <w:sz w:val="24"/>
                <w:szCs w:val="24"/>
                <w:lang w:val="en-US" w:eastAsia="zh-CN" w:bidi="ar"/>
              </w:rPr>
              <w:t>-4.0</w:t>
            </w:r>
          </w:p>
        </w:tc>
      </w:tr>
    </w:tbl>
    <w:p>
      <w:pPr>
        <w:keepNext w:val="0"/>
        <w:keepLines w:val="0"/>
        <w:widowControl/>
        <w:suppressLineNumbers w:val="0"/>
        <w:spacing w:before="0" w:beforeAutospacing="1" w:after="0" w:afterAutospacing="1"/>
        <w:ind w:left="0" w:right="0" w:firstLine="48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房地产开发投资达1782.14亿元，比上年增长39.2%，其中，商品住宅投资1152.50亿元，增长30.3%；办公楼投资86.41亿元，增长87.9%；商业营业用房投资256.29亿元，增长54.9%。全省商品房屋施工面积14362万平方米，增长30.4%；商品房屋竣工面积1851.57万平方米，增长17.8%；商品房屋销售面积3237.75万平方米，增长0.5%，商品房屋销售额1362.83亿元，增长16.3%。 </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b/>
          <w:kern w:val="0"/>
          <w:sz w:val="24"/>
          <w:szCs w:val="24"/>
          <w:lang w:val="en-US" w:eastAsia="zh-CN" w:bidi="ar"/>
        </w:rPr>
        <w:t>表5  2012年云南房地产业发展主要指标</w:t>
      </w:r>
    </w:p>
    <w:tbl>
      <w:tblPr>
        <w:tblW w:w="8079" w:type="dxa"/>
        <w:jc w:val="center"/>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329"/>
        <w:gridCol w:w="1080"/>
        <w:gridCol w:w="1235"/>
        <w:gridCol w:w="476"/>
        <w:gridCol w:w="1227"/>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0" w:hRule="atLeast"/>
          <w:jc w:val="center"/>
        </w:trPr>
        <w:tc>
          <w:tcPr>
            <w:tcW w:w="33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指     标</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单 位</w:t>
            </w:r>
          </w:p>
        </w:tc>
        <w:tc>
          <w:tcPr>
            <w:tcW w:w="1711"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绝对数</w:t>
            </w:r>
          </w:p>
        </w:tc>
        <w:tc>
          <w:tcPr>
            <w:tcW w:w="1959"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房地产开发投资额</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1782.14</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39.2</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1152.50</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30.3</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其中：90平方米以下住宅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294.51</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66.3</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房屋施工面积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14362.00</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30.4</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10432.11</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24.9</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房屋新开工面积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6037.53</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23.0</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4166.88</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15.3</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房屋竣工面积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1851.57</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17.8</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1492.28</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18.2</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商品房销售面积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3237.75</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0.5</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2789.68</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-1.4</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本年资金来源</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2134.02</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25.4</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其中：国内贷款</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216.12</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47.4</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其中：个人按揭贷款</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258.20</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20.0</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本年购置土地面积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1602.39</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-1.3</w:t>
            </w:r>
          </w:p>
        </w:tc>
        <w:tc>
          <w:tcPr>
            <w:tcW w:w="732" w:type="dxa"/>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土地购置费</w:t>
            </w:r>
          </w:p>
        </w:tc>
        <w:tc>
          <w:tcPr>
            <w:tcW w:w="108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亿元</w:t>
            </w:r>
          </w:p>
        </w:tc>
        <w:tc>
          <w:tcPr>
            <w:tcW w:w="1235"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251.08</w:t>
            </w:r>
          </w:p>
        </w:tc>
        <w:tc>
          <w:tcPr>
            <w:tcW w:w="4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　</w:t>
            </w:r>
          </w:p>
        </w:tc>
        <w:tc>
          <w:tcPr>
            <w:tcW w:w="1227"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75.9</w:t>
            </w:r>
          </w:p>
        </w:tc>
        <w:tc>
          <w:tcPr>
            <w:tcW w:w="732" w:type="dxa"/>
            <w:tcBorders>
              <w:top w:val="nil"/>
              <w:left w:val="nil"/>
              <w:bottom w:val="single" w:color="auto" w:sz="8" w:space="0"/>
              <w:right w:val="nil"/>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660"/>
        <w:jc w:val="left"/>
      </w:pPr>
      <w:r>
        <w:rPr>
          <w:rFonts w:hint="eastAsia" w:ascii="宋体" w:hAnsi="宋体" w:eastAsia="宋体" w:cs="宋体"/>
          <w:kern w:val="0"/>
          <w:sz w:val="24"/>
          <w:szCs w:val="24"/>
          <w:lang w:val="en-US" w:eastAsia="zh-CN" w:bidi="ar"/>
        </w:rPr>
        <w:t>基础设施建设取得显著成就。截至2012年底，全省高速公路通车里程突破2900公里，位居西部第5位。石锁高速公路主线全线贯通，大丽高速公路等一批高速公路加快建设，南北大通道建设高速公路项目正式开工建设，丽江机场高速公路正式通车，结束了滇西北没有高速公路的历史；农村公路改造力度进一步加大；“八入省、四出境”铁路网建设加快推进，全省在建铁路里程1500公里；昆明地铁六号线通车运营，云南城市交通步入地铁新时代。泸沽湖机场正式开工建设，红河蒙自机场、沧源机场、澜沧机场建设前期工作取得重大进展。牛栏江—滇池补水工程试通水。交通、能源、水利等重点基础设施建设大步向前推进，全国第4大机场—昆明长水国际机场投入运营，云南基础设施落后面貌显著改变，经济社会发展“瓶颈”制约得到有效缓解。</w:t>
      </w:r>
    </w:p>
    <w:p>
      <w:pPr>
        <w:keepNext w:val="0"/>
        <w:keepLines w:val="0"/>
        <w:widowControl/>
        <w:suppressLineNumbers w:val="0"/>
        <w:spacing w:before="0" w:beforeAutospacing="1" w:after="0" w:afterAutospacing="1" w:line="360" w:lineRule="auto"/>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宋体" w:hAnsi="宋体" w:eastAsia="宋体" w:cs="宋体"/>
          <w:b/>
          <w:kern w:val="0"/>
          <w:sz w:val="24"/>
          <w:szCs w:val="24"/>
          <w:lang w:val="en-US" w:eastAsia="zh-CN" w:bidi="ar"/>
        </w:rPr>
        <w:t>五、国内贸易和对外经济</w:t>
      </w:r>
    </w:p>
    <w:p>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4"/>
          <w:szCs w:val="24"/>
          <w:lang w:val="en-US" w:eastAsia="zh-CN" w:bidi="ar"/>
        </w:rPr>
        <w:t>    2012年，全省实现社会消费品零售总额3541.60亿元, 比上年增长</w:t>
      </w:r>
      <w:r>
        <w:rPr>
          <w:rFonts w:hint="eastAsia" w:ascii="宋体" w:hAnsi="宋体" w:eastAsia="宋体" w:cs="宋体"/>
          <w:color w:val="000000"/>
          <w:kern w:val="0"/>
          <w:sz w:val="24"/>
          <w:szCs w:val="24"/>
          <w:lang w:val="en-US" w:eastAsia="zh-CN" w:bidi="ar"/>
        </w:rPr>
        <w:t>18.0%</w:t>
      </w:r>
      <w:r>
        <w:rPr>
          <w:rFonts w:hint="eastAsia" w:ascii="宋体" w:hAnsi="宋体" w:eastAsia="宋体" w:cs="宋体"/>
          <w:kern w:val="0"/>
          <w:sz w:val="24"/>
          <w:szCs w:val="24"/>
          <w:lang w:val="en-US" w:eastAsia="zh-CN" w:bidi="ar"/>
        </w:rPr>
        <w:t>。按经营地统计，城镇社会消费品零售额2846.92亿元,增长18.3%；乡村社会消费品零售额694.68亿元，增长17.2%。按消费形态统计，批发业零售额397.19亿元，增长37.8%；零售业零售额2367.71亿元，增长12.4%；住宿业零售额39.02亿元，增长21.3%；餐饮业零售额473.33亿元，增长17.8%；其他行业零售额264.35亿元，增长53.3%。</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在限额以上批发和零售业</w:t>
      </w:r>
      <w:r>
        <w:rPr>
          <w:rFonts w:hint="eastAsia" w:ascii="宋体" w:hAnsi="宋体" w:eastAsia="宋体" w:cs="宋体"/>
          <w:kern w:val="0"/>
          <w:sz w:val="24"/>
          <w:szCs w:val="24"/>
          <w:vertAlign w:val="superscript"/>
          <w:lang w:val="en-US" w:eastAsia="zh-CN" w:bidi="ar"/>
        </w:rPr>
        <w:t>[7]</w:t>
      </w:r>
      <w:r>
        <w:rPr>
          <w:rFonts w:hint="eastAsia" w:ascii="宋体" w:hAnsi="宋体" w:eastAsia="宋体" w:cs="宋体"/>
          <w:kern w:val="0"/>
          <w:sz w:val="24"/>
          <w:szCs w:val="24"/>
          <w:lang w:val="en-US" w:eastAsia="zh-CN" w:bidi="ar"/>
        </w:rPr>
        <w:t>零售额中，粮油类零售额比上年增长33.5%，汽车类增长13.1%，石油及制品类增长26.8%，日用品类增长56.4%，文化办公用品类增长11.2%，化妆品类增长34.1%，金银珠宝类增长45.5%，家具类增长1.3倍，建筑及装潢材料类增长1.2倍，家用电器和音像器材类增长29.4%。</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 2012年，全省外贸进出口总额达210.05亿美元，比上年增长31.0%。其中出口总额100.18亿美元，增长5.8%，进口总额109.87亿美元，增长67.6%。全年对欧盟进出口11.09亿美元，下降38.0%；对东盟进出口67.6亿美元，下降13.6%；对南亚进出口5.76亿美元，下降46.8%。</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 xml:space="preserve">全省机电产品出口16.67亿美元，下降17.8%；农产品出口20.39亿美元，增长16.1%；磷化工产品出口10.51亿美元，下降29.6%；纺织品及服装出口4.74亿美元，下降34.1%。在进口商品中，金属原材料进口33.37亿美元，增长26.8%；农产品进口15.81亿美元，增长46.3%；机电产品进口8.33亿美元，增长4.3%；木材进口2.86亿美元，增长29.3%。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全年共批准利用外资项目121个，下降25.8%，合同利用外资10.95亿美元，下降49.2%，实际使用外商直接投资21.89亿美元，增长26.0%。</w:t>
      </w:r>
    </w:p>
    <w:p>
      <w:pPr>
        <w:keepNext w:val="0"/>
        <w:keepLines w:val="0"/>
        <w:widowControl/>
        <w:suppressLineNumbers w:val="0"/>
        <w:spacing w:before="0" w:beforeAutospacing="1" w:after="0" w:afterAutospacing="1"/>
        <w:ind w:left="0" w:right="0" w:firstLine="1205"/>
        <w:jc w:val="left"/>
      </w:pPr>
      <w:r>
        <w:rPr>
          <w:rFonts w:hint="eastAsia" w:ascii="宋体" w:hAnsi="宋体" w:eastAsia="宋体" w:cs="宋体"/>
          <w:b/>
          <w:kern w:val="0"/>
          <w:sz w:val="24"/>
          <w:szCs w:val="24"/>
          <w:lang w:val="en-US" w:eastAsia="zh-CN" w:bidi="ar"/>
        </w:rPr>
        <w:t>六、交通、邮电和旅游业</w:t>
      </w:r>
    </w:p>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全年交通运输、仓储和邮政业增加值为239.62亿元，比上年增长6.6%。 </w:t>
      </w:r>
    </w:p>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kern w:val="0"/>
          <w:sz w:val="24"/>
          <w:szCs w:val="24"/>
          <w:lang w:val="en-US" w:eastAsia="zh-CN" w:bidi="ar"/>
        </w:rPr>
        <w:t>全年货物运输总量7.59亿吨，比上年增长13.6%。货物运输周转量1164.8亿吨公里，增长8.9%。</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b/>
          <w:kern w:val="0"/>
          <w:sz w:val="24"/>
          <w:szCs w:val="24"/>
          <w:lang w:val="en-US" w:eastAsia="zh-CN" w:bidi="ar"/>
        </w:rPr>
        <w:t>表6  2012年云南各种运输方式货物运输量及其增长速度</w:t>
      </w:r>
    </w:p>
    <w:tbl>
      <w:tblPr>
        <w:tblW w:w="83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576"/>
        <w:gridCol w:w="1710"/>
        <w:gridCol w:w="1730"/>
        <w:gridCol w:w="147"/>
        <w:gridCol w:w="1452"/>
        <w:gridCol w:w="522"/>
        <w:gridCol w:w="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0" w:hRule="atLeast"/>
          <w:jc w:val="center"/>
        </w:trPr>
        <w:tc>
          <w:tcPr>
            <w:tcW w:w="2576"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指      标</w:t>
            </w:r>
          </w:p>
        </w:tc>
        <w:tc>
          <w:tcPr>
            <w:tcW w:w="1710"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单    位</w:t>
            </w:r>
          </w:p>
        </w:tc>
        <w:tc>
          <w:tcPr>
            <w:tcW w:w="1877" w:type="dxa"/>
            <w:gridSpan w:val="2"/>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绝对数</w:t>
            </w:r>
          </w:p>
        </w:tc>
        <w:tc>
          <w:tcPr>
            <w:tcW w:w="2173" w:type="dxa"/>
            <w:gridSpan w:val="3"/>
            <w:tcBorders>
              <w:top w:val="single" w:color="auto" w:sz="8" w:space="0"/>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货物运输总量</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亿    吨</w:t>
            </w:r>
          </w:p>
        </w:tc>
        <w:tc>
          <w:tcPr>
            <w:tcW w:w="173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   7.59</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13.6</w:t>
            </w:r>
          </w:p>
        </w:tc>
        <w:tc>
          <w:tcPr>
            <w:tcW w:w="522" w:type="dxa"/>
            <w:tcBorders>
              <w:top w:val="nil"/>
              <w:left w:val="nil"/>
              <w:bottom w:val="nil"/>
              <w:right w:val="nil"/>
            </w:tcBorders>
            <w:shd w:val="clear"/>
            <w:tcMar>
              <w:top w:w="15" w:type="dxa"/>
              <w:left w:w="15" w:type="dxa"/>
              <w:right w:w="15" w:type="dxa"/>
            </w:tcMar>
            <w:vAlign w:val="center"/>
          </w:tcPr>
          <w:p>
            <w:pPr>
              <w:rPr>
                <w:rFonts w:hint="eastAsia" w:ascii="宋体"/>
                <w:sz w:val="24"/>
                <w:szCs w:val="24"/>
              </w:rPr>
            </w:pPr>
          </w:p>
        </w:tc>
        <w:tc>
          <w:tcPr>
            <w:tcW w:w="199"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铁  路</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亿    吨</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   1.18</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0.0</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公  路</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亿    吨</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6.32</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16.7</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水  运</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亿    吨</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0.05</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5.9</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民  航</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万    吨</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6.96</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2.5</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管  道</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亿    吨</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0.04</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-2.2</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货物运输周转量</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亿吨公里</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   1164.8</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8.9</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铁  路</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亿吨公里</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379.75</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2.7</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公  路</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亿吨公里</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702.51</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13.8</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水  运</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亿吨公里</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8.71</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6.4</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民  航</w:t>
            </w:r>
          </w:p>
        </w:tc>
        <w:tc>
          <w:tcPr>
            <w:tcW w:w="1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亿吨公里</w:t>
            </w:r>
          </w:p>
        </w:tc>
        <w:tc>
          <w:tcPr>
            <w:tcW w:w="1730" w:type="dxa"/>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1.12</w:t>
            </w:r>
          </w:p>
        </w:tc>
        <w:tc>
          <w:tcPr>
            <w:tcW w:w="147" w:type="dxa"/>
            <w:tcBorders>
              <w:top w:val="nil"/>
              <w:left w:val="nil"/>
              <w:bottom w:val="nil"/>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8.3</w:t>
            </w:r>
          </w:p>
        </w:tc>
        <w:tc>
          <w:tcPr>
            <w:tcW w:w="522" w:type="dxa"/>
            <w:shd w:val="clear"/>
            <w:tcMar>
              <w:top w:w="15" w:type="dxa"/>
              <w:left w:w="15" w:type="dxa"/>
              <w:right w:w="15" w:type="dxa"/>
            </w:tcMar>
            <w:vAlign w:val="center"/>
          </w:tcPr>
          <w:p>
            <w:pPr>
              <w:rPr>
                <w:rFonts w:hint="eastAsia" w:ascii="宋体"/>
                <w:sz w:val="24"/>
                <w:szCs w:val="24"/>
              </w:rPr>
            </w:pPr>
          </w:p>
        </w:tc>
        <w:tc>
          <w:tcPr>
            <w:tcW w:w="199"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576"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管  道</w:t>
            </w:r>
          </w:p>
        </w:tc>
        <w:tc>
          <w:tcPr>
            <w:tcW w:w="171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亿吨公里</w:t>
            </w:r>
          </w:p>
        </w:tc>
        <w:tc>
          <w:tcPr>
            <w:tcW w:w="1730" w:type="dxa"/>
            <w:tcBorders>
              <w:top w:val="nil"/>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72.68</w:t>
            </w:r>
          </w:p>
        </w:tc>
        <w:tc>
          <w:tcPr>
            <w:tcW w:w="147" w:type="dxa"/>
            <w:tcBorders>
              <w:top w:val="nil"/>
              <w:left w:val="nil"/>
              <w:bottom w:val="single" w:color="auto" w:sz="8" w:space="0"/>
              <w:right w:val="single" w:color="auto" w:sz="8" w:space="0"/>
            </w:tcBorders>
            <w:shd w:val="clear"/>
            <w:tcMar>
              <w:top w:w="15" w:type="dxa"/>
              <w:left w:w="15" w:type="dxa"/>
              <w:right w:w="15" w:type="dxa"/>
            </w:tcMar>
            <w:vAlign w:val="center"/>
          </w:tcPr>
          <w:p>
            <w:pPr>
              <w:rPr>
                <w:rFonts w:hint="eastAsia" w:ascii="宋体"/>
                <w:sz w:val="24"/>
                <w:szCs w:val="24"/>
              </w:rPr>
            </w:pPr>
          </w:p>
        </w:tc>
        <w:tc>
          <w:tcPr>
            <w:tcW w:w="1452" w:type="dxa"/>
            <w:tcBorders>
              <w:top w:val="nil"/>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-1.7</w:t>
            </w:r>
          </w:p>
        </w:tc>
        <w:tc>
          <w:tcPr>
            <w:tcW w:w="522" w:type="dxa"/>
            <w:tcBorders>
              <w:top w:val="nil"/>
              <w:left w:val="nil"/>
              <w:bottom w:val="single" w:color="auto" w:sz="8" w:space="0"/>
              <w:right w:val="nil"/>
            </w:tcBorders>
            <w:shd w:val="clear"/>
            <w:tcMar>
              <w:top w:w="15" w:type="dxa"/>
              <w:left w:w="15" w:type="dxa"/>
              <w:right w:w="15" w:type="dxa"/>
            </w:tcMar>
            <w:vAlign w:val="center"/>
          </w:tcPr>
          <w:p>
            <w:pPr>
              <w:rPr>
                <w:rFonts w:hint="eastAsia" w:ascii="宋体"/>
                <w:sz w:val="24"/>
                <w:szCs w:val="24"/>
              </w:rPr>
            </w:pPr>
          </w:p>
        </w:tc>
        <w:tc>
          <w:tcPr>
            <w:tcW w:w="199" w:type="dxa"/>
            <w:tcBorders>
              <w:top w:val="nil"/>
              <w:left w:val="nil"/>
              <w:bottom w:val="single" w:color="auto" w:sz="8" w:space="0"/>
              <w:right w:val="nil"/>
            </w:tcBorders>
            <w:shd w:val="clear"/>
            <w:vAlign w:val="center"/>
          </w:tcPr>
          <w:p>
            <w:pPr>
              <w:rPr>
                <w:rFonts w:hint="eastAsia" w:ascii="宋体"/>
                <w:sz w:val="24"/>
                <w:szCs w:val="24"/>
              </w:rPr>
            </w:pPr>
          </w:p>
        </w:tc>
      </w:tr>
    </w:tbl>
    <w:p>
      <w:pPr>
        <w:keepNext w:val="0"/>
        <w:keepLines w:val="0"/>
        <w:widowControl/>
        <w:suppressLineNumbers w:val="0"/>
        <w:spacing w:before="0" w:beforeAutospacing="1" w:after="0" w:afterAutospacing="1"/>
        <w:ind w:left="0" w:right="0" w:firstLine="4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kern w:val="0"/>
          <w:sz w:val="24"/>
          <w:szCs w:val="24"/>
          <w:lang w:val="en-US" w:eastAsia="zh-CN" w:bidi="ar"/>
        </w:rPr>
        <w:t>全年旅客运输总量4.96亿人次，比上年增长7.8%。旅客运输周转量669.96亿人公里，增长9.7%。</w:t>
      </w:r>
    </w:p>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kern w:val="0"/>
          <w:sz w:val="24"/>
          <w:szCs w:val="24"/>
          <w:lang w:val="en-US" w:eastAsia="zh-CN" w:bidi="ar"/>
        </w:rPr>
        <w:t>年末全省民用汽车保有量达到334.95万辆（包括三轮汽车和低速货车7.68万辆），比上年末增长16.4%，其中私人汽车保有量280.03万辆，增长18.8%。民用轿车保有量137.36万辆，增长19.2%，其中私人轿车122.99万辆，增长20.8%。</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b/>
          <w:kern w:val="0"/>
          <w:sz w:val="24"/>
          <w:szCs w:val="24"/>
          <w:lang w:val="en-US" w:eastAsia="zh-CN" w:bidi="ar"/>
        </w:rPr>
        <w:t>表7  2012年云南各种运输方式旅客运输量及其增长速度</w:t>
      </w:r>
    </w:p>
    <w:tbl>
      <w:tblPr>
        <w:tblW w:w="833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674"/>
        <w:gridCol w:w="1558"/>
        <w:gridCol w:w="1888"/>
        <w:gridCol w:w="80"/>
        <w:gridCol w:w="1408"/>
        <w:gridCol w:w="72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40" w:hRule="atLeast"/>
          <w:jc w:val="center"/>
        </w:trPr>
        <w:tc>
          <w:tcPr>
            <w:tcW w:w="2674"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指      标</w:t>
            </w:r>
          </w:p>
        </w:tc>
        <w:tc>
          <w:tcPr>
            <w:tcW w:w="1558"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单    位</w:t>
            </w:r>
          </w:p>
        </w:tc>
        <w:tc>
          <w:tcPr>
            <w:tcW w:w="1968" w:type="dxa"/>
            <w:gridSpan w:val="2"/>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绝对数</w:t>
            </w:r>
          </w:p>
        </w:tc>
        <w:tc>
          <w:tcPr>
            <w:tcW w:w="2136" w:type="dxa"/>
            <w:gridSpan w:val="2"/>
            <w:tcBorders>
              <w:top w:val="single" w:color="auto" w:sz="8" w:space="0"/>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120"/>
              <w:jc w:val="left"/>
            </w:pPr>
            <w:r>
              <w:rPr>
                <w:rFonts w:hint="eastAsia" w:ascii="宋体" w:hAnsi="宋体" w:eastAsia="宋体" w:cs="宋体"/>
                <w:kern w:val="0"/>
                <w:sz w:val="24"/>
                <w:szCs w:val="24"/>
                <w:lang w:val="en-US" w:eastAsia="zh-CN" w:bidi="ar"/>
              </w:rPr>
              <w:t>旅客运输总量</w:t>
            </w:r>
          </w:p>
        </w:tc>
        <w:tc>
          <w:tcPr>
            <w:tcW w:w="1558"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    人</w:t>
            </w:r>
          </w:p>
        </w:tc>
        <w:tc>
          <w:tcPr>
            <w:tcW w:w="188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4.96</w:t>
            </w:r>
          </w:p>
        </w:tc>
        <w:tc>
          <w:tcPr>
            <w:tcW w:w="80" w:type="dxa"/>
            <w:tcBorders>
              <w:top w:val="nil"/>
              <w:left w:val="nil"/>
              <w:bottom w:val="nil"/>
              <w:right w:val="single" w:color="auto" w:sz="8" w:space="0"/>
            </w:tcBorders>
            <w:shd w:val="clear"/>
            <w:vAlign w:val="center"/>
          </w:tcPr>
          <w:p>
            <w:pPr>
              <w:rPr>
                <w:rFonts w:hint="eastAsia" w:ascii="宋体"/>
                <w:sz w:val="24"/>
                <w:szCs w:val="24"/>
              </w:rPr>
            </w:pPr>
          </w:p>
        </w:tc>
        <w:tc>
          <w:tcPr>
            <w:tcW w:w="140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7.8</w:t>
            </w:r>
          </w:p>
        </w:tc>
        <w:tc>
          <w:tcPr>
            <w:tcW w:w="728"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铁  路</w:t>
            </w:r>
          </w:p>
        </w:tc>
        <w:tc>
          <w:tcPr>
            <w:tcW w:w="1558"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    人</w:t>
            </w:r>
          </w:p>
        </w:tc>
        <w:tc>
          <w:tcPr>
            <w:tcW w:w="1888" w:type="dxa"/>
            <w:tcBorders>
              <w:top w:val="nil"/>
              <w:left w:val="nil"/>
              <w:bottom w:val="nil"/>
              <w:right w:val="nil"/>
            </w:tcBorders>
            <w:shd w:val="cle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0.3</w:t>
            </w:r>
          </w:p>
        </w:tc>
        <w:tc>
          <w:tcPr>
            <w:tcW w:w="80" w:type="dxa"/>
            <w:tcBorders>
              <w:top w:val="nil"/>
              <w:left w:val="nil"/>
              <w:bottom w:val="nil"/>
              <w:right w:val="single" w:color="auto" w:sz="8" w:space="0"/>
            </w:tcBorders>
            <w:shd w:val="clear"/>
            <w:vAlign w:val="center"/>
          </w:tcPr>
          <w:p>
            <w:pPr>
              <w:rPr>
                <w:rFonts w:hint="eastAsia" w:ascii="宋体"/>
                <w:sz w:val="24"/>
                <w:szCs w:val="24"/>
              </w:rPr>
            </w:pPr>
          </w:p>
        </w:tc>
        <w:tc>
          <w:tcPr>
            <w:tcW w:w="140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1.5</w:t>
            </w:r>
          </w:p>
        </w:tc>
        <w:tc>
          <w:tcPr>
            <w:tcW w:w="728"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公  路</w:t>
            </w:r>
          </w:p>
        </w:tc>
        <w:tc>
          <w:tcPr>
            <w:tcW w:w="1558"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    人</w:t>
            </w:r>
          </w:p>
        </w:tc>
        <w:tc>
          <w:tcPr>
            <w:tcW w:w="1888" w:type="dxa"/>
            <w:tcBorders>
              <w:top w:val="nil"/>
              <w:left w:val="nil"/>
              <w:bottom w:val="nil"/>
              <w:right w:val="nil"/>
            </w:tcBorders>
            <w:shd w:val="cle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4.48</w:t>
            </w:r>
          </w:p>
        </w:tc>
        <w:tc>
          <w:tcPr>
            <w:tcW w:w="80" w:type="dxa"/>
            <w:tcBorders>
              <w:top w:val="nil"/>
              <w:left w:val="nil"/>
              <w:bottom w:val="nil"/>
              <w:right w:val="single" w:color="auto" w:sz="8" w:space="0"/>
            </w:tcBorders>
            <w:shd w:val="clear"/>
            <w:vAlign w:val="center"/>
          </w:tcPr>
          <w:p>
            <w:pPr>
              <w:rPr>
                <w:rFonts w:hint="eastAsia" w:ascii="宋体"/>
                <w:sz w:val="24"/>
                <w:szCs w:val="24"/>
              </w:rPr>
            </w:pPr>
          </w:p>
        </w:tc>
        <w:tc>
          <w:tcPr>
            <w:tcW w:w="140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8.3</w:t>
            </w:r>
          </w:p>
        </w:tc>
        <w:tc>
          <w:tcPr>
            <w:tcW w:w="728"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水  运</w:t>
            </w:r>
          </w:p>
        </w:tc>
        <w:tc>
          <w:tcPr>
            <w:tcW w:w="1558"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    人</w:t>
            </w:r>
          </w:p>
        </w:tc>
        <w:tc>
          <w:tcPr>
            <w:tcW w:w="1888" w:type="dxa"/>
            <w:tcBorders>
              <w:top w:val="nil"/>
              <w:left w:val="nil"/>
              <w:bottom w:val="nil"/>
              <w:right w:val="nil"/>
            </w:tcBorders>
            <w:shd w:val="cle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0.09</w:t>
            </w:r>
          </w:p>
        </w:tc>
        <w:tc>
          <w:tcPr>
            <w:tcW w:w="80" w:type="dxa"/>
            <w:tcBorders>
              <w:top w:val="nil"/>
              <w:left w:val="nil"/>
              <w:bottom w:val="nil"/>
              <w:right w:val="single" w:color="auto" w:sz="8" w:space="0"/>
            </w:tcBorders>
            <w:shd w:val="clear"/>
            <w:vAlign w:val="center"/>
          </w:tcPr>
          <w:p>
            <w:pPr>
              <w:rPr>
                <w:rFonts w:hint="eastAsia" w:ascii="宋体"/>
                <w:sz w:val="24"/>
                <w:szCs w:val="24"/>
              </w:rPr>
            </w:pPr>
          </w:p>
        </w:tc>
        <w:tc>
          <w:tcPr>
            <w:tcW w:w="140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1.5</w:t>
            </w:r>
          </w:p>
        </w:tc>
        <w:tc>
          <w:tcPr>
            <w:tcW w:w="728"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民  航</w:t>
            </w:r>
          </w:p>
        </w:tc>
        <w:tc>
          <w:tcPr>
            <w:tcW w:w="1558"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    人</w:t>
            </w:r>
          </w:p>
        </w:tc>
        <w:tc>
          <w:tcPr>
            <w:tcW w:w="1888" w:type="dxa"/>
            <w:tcBorders>
              <w:top w:val="nil"/>
              <w:left w:val="nil"/>
              <w:bottom w:val="nil"/>
              <w:right w:val="nil"/>
            </w:tcBorders>
            <w:shd w:val="cle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0.08</w:t>
            </w:r>
          </w:p>
        </w:tc>
        <w:tc>
          <w:tcPr>
            <w:tcW w:w="80" w:type="dxa"/>
            <w:tcBorders>
              <w:top w:val="nil"/>
              <w:left w:val="nil"/>
              <w:bottom w:val="nil"/>
              <w:right w:val="single" w:color="auto" w:sz="8" w:space="0"/>
            </w:tcBorders>
            <w:shd w:val="clear"/>
            <w:vAlign w:val="center"/>
          </w:tcPr>
          <w:p>
            <w:pPr>
              <w:rPr>
                <w:rFonts w:hint="eastAsia" w:ascii="宋体"/>
                <w:sz w:val="24"/>
                <w:szCs w:val="24"/>
              </w:rPr>
            </w:pPr>
          </w:p>
        </w:tc>
        <w:tc>
          <w:tcPr>
            <w:tcW w:w="140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wordWrap w:val="0"/>
              <w:spacing w:before="0" w:beforeAutospacing="1" w:after="0" w:afterAutospacing="1"/>
              <w:ind w:left="0" w:right="0"/>
              <w:jc w:val="right"/>
            </w:pPr>
            <w:r>
              <w:rPr>
                <w:rFonts w:hint="eastAsia" w:ascii="宋体" w:hAnsi="宋体" w:eastAsia="宋体" w:cs="宋体"/>
                <w:kern w:val="0"/>
                <w:sz w:val="24"/>
                <w:szCs w:val="24"/>
                <w:lang w:val="en-US" w:eastAsia="zh-CN" w:bidi="ar"/>
              </w:rPr>
              <w:t>11.9</w:t>
            </w:r>
          </w:p>
        </w:tc>
        <w:tc>
          <w:tcPr>
            <w:tcW w:w="728"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120"/>
              <w:jc w:val="left"/>
            </w:pPr>
            <w:r>
              <w:rPr>
                <w:rFonts w:hint="eastAsia" w:ascii="宋体" w:hAnsi="宋体" w:eastAsia="宋体" w:cs="宋体"/>
                <w:kern w:val="0"/>
                <w:sz w:val="24"/>
                <w:szCs w:val="24"/>
                <w:lang w:val="en-US" w:eastAsia="zh-CN" w:bidi="ar"/>
              </w:rPr>
              <w:t>旅客运输周转量</w:t>
            </w:r>
          </w:p>
        </w:tc>
        <w:tc>
          <w:tcPr>
            <w:tcW w:w="1558"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亿人公里</w:t>
            </w:r>
          </w:p>
        </w:tc>
        <w:tc>
          <w:tcPr>
            <w:tcW w:w="188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105"/>
              <w:jc w:val="right"/>
            </w:pPr>
            <w:r>
              <w:rPr>
                <w:rFonts w:hint="eastAsia" w:ascii="宋体" w:hAnsi="宋体" w:eastAsia="宋体" w:cs="宋体"/>
                <w:kern w:val="0"/>
                <w:sz w:val="24"/>
                <w:szCs w:val="24"/>
                <w:lang w:val="en-US" w:eastAsia="zh-CN" w:bidi="ar"/>
              </w:rPr>
              <w:t>669.96</w:t>
            </w:r>
          </w:p>
        </w:tc>
        <w:tc>
          <w:tcPr>
            <w:tcW w:w="80" w:type="dxa"/>
            <w:tcBorders>
              <w:top w:val="nil"/>
              <w:left w:val="nil"/>
              <w:bottom w:val="nil"/>
              <w:right w:val="single" w:color="auto" w:sz="8" w:space="0"/>
            </w:tcBorders>
            <w:shd w:val="clear"/>
            <w:vAlign w:val="center"/>
          </w:tcPr>
          <w:p>
            <w:pPr>
              <w:rPr>
                <w:rFonts w:hint="eastAsia" w:ascii="宋体"/>
                <w:sz w:val="24"/>
                <w:szCs w:val="24"/>
              </w:rPr>
            </w:pPr>
          </w:p>
        </w:tc>
        <w:tc>
          <w:tcPr>
            <w:tcW w:w="140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9.7</w:t>
            </w:r>
          </w:p>
        </w:tc>
        <w:tc>
          <w:tcPr>
            <w:tcW w:w="728"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铁  路</w:t>
            </w:r>
          </w:p>
        </w:tc>
        <w:tc>
          <w:tcPr>
            <w:tcW w:w="1558"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亿人公里</w:t>
            </w:r>
          </w:p>
        </w:tc>
        <w:tc>
          <w:tcPr>
            <w:tcW w:w="188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105"/>
              <w:jc w:val="right"/>
            </w:pPr>
            <w:r>
              <w:rPr>
                <w:rFonts w:hint="eastAsia" w:ascii="宋体" w:hAnsi="宋体" w:eastAsia="宋体" w:cs="宋体"/>
                <w:kern w:val="0"/>
                <w:sz w:val="24"/>
                <w:szCs w:val="24"/>
                <w:lang w:val="en-US" w:eastAsia="zh-CN" w:bidi="ar"/>
              </w:rPr>
              <w:t>91.74</w:t>
            </w:r>
          </w:p>
        </w:tc>
        <w:tc>
          <w:tcPr>
            <w:tcW w:w="80" w:type="dxa"/>
            <w:tcBorders>
              <w:top w:val="nil"/>
              <w:left w:val="nil"/>
              <w:bottom w:val="nil"/>
              <w:right w:val="single" w:color="auto" w:sz="8" w:space="0"/>
            </w:tcBorders>
            <w:shd w:val="clear"/>
            <w:vAlign w:val="center"/>
          </w:tcPr>
          <w:p>
            <w:pPr>
              <w:rPr>
                <w:rFonts w:hint="eastAsia" w:ascii="宋体"/>
                <w:sz w:val="24"/>
                <w:szCs w:val="24"/>
              </w:rPr>
            </w:pPr>
          </w:p>
        </w:tc>
        <w:tc>
          <w:tcPr>
            <w:tcW w:w="140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-0.2</w:t>
            </w:r>
          </w:p>
        </w:tc>
        <w:tc>
          <w:tcPr>
            <w:tcW w:w="728"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公  路</w:t>
            </w:r>
          </w:p>
        </w:tc>
        <w:tc>
          <w:tcPr>
            <w:tcW w:w="1558"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亿人公里</w:t>
            </w:r>
          </w:p>
        </w:tc>
        <w:tc>
          <w:tcPr>
            <w:tcW w:w="188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105"/>
              <w:jc w:val="right"/>
            </w:pPr>
            <w:r>
              <w:rPr>
                <w:rFonts w:hint="eastAsia" w:ascii="宋体" w:hAnsi="宋体" w:eastAsia="宋体" w:cs="宋体"/>
                <w:kern w:val="0"/>
                <w:sz w:val="24"/>
                <w:szCs w:val="24"/>
                <w:lang w:val="en-US" w:eastAsia="zh-CN" w:bidi="ar"/>
              </w:rPr>
              <w:t>470.2</w:t>
            </w:r>
          </w:p>
        </w:tc>
        <w:tc>
          <w:tcPr>
            <w:tcW w:w="80" w:type="dxa"/>
            <w:tcBorders>
              <w:top w:val="nil"/>
              <w:left w:val="nil"/>
              <w:bottom w:val="nil"/>
              <w:right w:val="single" w:color="auto" w:sz="8" w:space="0"/>
            </w:tcBorders>
            <w:shd w:val="clear"/>
            <w:vAlign w:val="center"/>
          </w:tcPr>
          <w:p>
            <w:pPr>
              <w:rPr>
                <w:rFonts w:hint="eastAsia" w:ascii="宋体"/>
                <w:sz w:val="24"/>
                <w:szCs w:val="24"/>
              </w:rPr>
            </w:pPr>
          </w:p>
        </w:tc>
        <w:tc>
          <w:tcPr>
            <w:tcW w:w="140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10.7</w:t>
            </w:r>
          </w:p>
        </w:tc>
        <w:tc>
          <w:tcPr>
            <w:tcW w:w="728"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水  运</w:t>
            </w:r>
          </w:p>
        </w:tc>
        <w:tc>
          <w:tcPr>
            <w:tcW w:w="1558"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亿人公里</w:t>
            </w:r>
          </w:p>
        </w:tc>
        <w:tc>
          <w:tcPr>
            <w:tcW w:w="188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105"/>
              <w:jc w:val="right"/>
            </w:pPr>
            <w:r>
              <w:rPr>
                <w:rFonts w:hint="eastAsia" w:ascii="宋体" w:hAnsi="宋体" w:eastAsia="宋体" w:cs="宋体"/>
                <w:kern w:val="0"/>
                <w:sz w:val="24"/>
                <w:szCs w:val="24"/>
                <w:lang w:val="en-US" w:eastAsia="zh-CN" w:bidi="ar"/>
              </w:rPr>
              <w:t>2.02</w:t>
            </w:r>
          </w:p>
        </w:tc>
        <w:tc>
          <w:tcPr>
            <w:tcW w:w="80" w:type="dxa"/>
            <w:tcBorders>
              <w:top w:val="nil"/>
              <w:left w:val="nil"/>
              <w:bottom w:val="nil"/>
              <w:right w:val="single" w:color="auto" w:sz="8" w:space="0"/>
            </w:tcBorders>
            <w:shd w:val="clear"/>
            <w:vAlign w:val="center"/>
          </w:tcPr>
          <w:p>
            <w:pPr>
              <w:rPr>
                <w:rFonts w:hint="eastAsia" w:ascii="宋体"/>
                <w:sz w:val="24"/>
                <w:szCs w:val="24"/>
              </w:rPr>
            </w:pPr>
          </w:p>
        </w:tc>
        <w:tc>
          <w:tcPr>
            <w:tcW w:w="140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3.1</w:t>
            </w:r>
          </w:p>
        </w:tc>
        <w:tc>
          <w:tcPr>
            <w:tcW w:w="728" w:type="dxa"/>
            <w:tcBorders>
              <w:top w:val="nil"/>
              <w:left w:val="nil"/>
              <w:bottom w:val="nil"/>
              <w:right w:val="nil"/>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674"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60"/>
              <w:jc w:val="left"/>
            </w:pPr>
            <w:r>
              <w:rPr>
                <w:rFonts w:hint="eastAsia" w:ascii="宋体" w:hAnsi="宋体" w:eastAsia="宋体" w:cs="宋体"/>
                <w:kern w:val="0"/>
                <w:sz w:val="24"/>
                <w:szCs w:val="24"/>
                <w:lang w:val="en-US" w:eastAsia="zh-CN" w:bidi="ar"/>
              </w:rPr>
              <w:t>民  航</w:t>
            </w:r>
          </w:p>
        </w:tc>
        <w:tc>
          <w:tcPr>
            <w:tcW w:w="1558"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4"/>
                <w:lang w:val="en-US" w:eastAsia="zh-CN" w:bidi="ar"/>
              </w:rPr>
              <w:t>亿人公里</w:t>
            </w:r>
          </w:p>
        </w:tc>
        <w:tc>
          <w:tcPr>
            <w:tcW w:w="1888" w:type="dxa"/>
            <w:tcBorders>
              <w:top w:val="nil"/>
              <w:left w:val="nil"/>
              <w:bottom w:val="single" w:color="auto" w:sz="8" w:space="0"/>
              <w:right w:val="nil"/>
            </w:tcBorders>
            <w:shd w:val="clear"/>
            <w:vAlign w:val="center"/>
          </w:tcPr>
          <w:p>
            <w:pPr>
              <w:keepNext w:val="0"/>
              <w:keepLines w:val="0"/>
              <w:widowControl/>
              <w:suppressLineNumbers w:val="0"/>
              <w:spacing w:before="0" w:beforeAutospacing="1" w:after="0" w:afterAutospacing="1"/>
              <w:ind w:left="0" w:right="105"/>
              <w:jc w:val="right"/>
            </w:pPr>
            <w:r>
              <w:rPr>
                <w:rFonts w:hint="eastAsia" w:ascii="宋体" w:hAnsi="宋体" w:eastAsia="宋体" w:cs="宋体"/>
                <w:kern w:val="0"/>
                <w:sz w:val="24"/>
                <w:szCs w:val="24"/>
                <w:lang w:val="en-US" w:eastAsia="zh-CN" w:bidi="ar"/>
              </w:rPr>
              <w:t>106.01</w:t>
            </w:r>
          </w:p>
        </w:tc>
        <w:tc>
          <w:tcPr>
            <w:tcW w:w="80" w:type="dxa"/>
            <w:tcBorders>
              <w:top w:val="nil"/>
              <w:left w:val="nil"/>
              <w:bottom w:val="single" w:color="auto" w:sz="8" w:space="0"/>
              <w:right w:val="single" w:color="auto" w:sz="8" w:space="0"/>
            </w:tcBorders>
            <w:shd w:val="clear"/>
            <w:vAlign w:val="center"/>
          </w:tcPr>
          <w:p>
            <w:pPr>
              <w:rPr>
                <w:rFonts w:hint="eastAsia" w:ascii="宋体"/>
                <w:sz w:val="24"/>
                <w:szCs w:val="24"/>
              </w:rPr>
            </w:pPr>
          </w:p>
        </w:tc>
        <w:tc>
          <w:tcPr>
            <w:tcW w:w="1408" w:type="dxa"/>
            <w:tcBorders>
              <w:top w:val="nil"/>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eastAsia" w:ascii="宋体" w:hAnsi="宋体" w:eastAsia="宋体" w:cs="宋体"/>
                <w:kern w:val="0"/>
                <w:sz w:val="24"/>
                <w:szCs w:val="24"/>
                <w:lang w:val="en-US" w:eastAsia="zh-CN" w:bidi="ar"/>
              </w:rPr>
              <w:t>14.8</w:t>
            </w:r>
          </w:p>
        </w:tc>
        <w:tc>
          <w:tcPr>
            <w:tcW w:w="728" w:type="dxa"/>
            <w:tcBorders>
              <w:top w:val="nil"/>
              <w:left w:val="nil"/>
              <w:bottom w:val="single" w:color="auto" w:sz="8" w:space="0"/>
              <w:right w:val="nil"/>
            </w:tcBorders>
            <w:shd w:val="clear"/>
            <w:vAlign w:val="center"/>
          </w:tcPr>
          <w:p>
            <w:pPr>
              <w:rPr>
                <w:rFonts w:hint="eastAsia" w:ascii="宋体"/>
                <w:sz w:val="24"/>
                <w:szCs w:val="24"/>
              </w:rPr>
            </w:pPr>
          </w:p>
        </w:tc>
      </w:tr>
    </w:tbl>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kern w:val="0"/>
          <w:sz w:val="24"/>
          <w:szCs w:val="24"/>
          <w:lang w:val="en-US" w:eastAsia="zh-CN" w:bidi="ar"/>
        </w:rPr>
        <w:t>全年邮电业务总量</w:t>
      </w:r>
      <w:r>
        <w:rPr>
          <w:rFonts w:hint="eastAsia" w:ascii="宋体" w:hAnsi="宋体" w:eastAsia="宋体" w:cs="宋体"/>
          <w:color w:val="000000"/>
          <w:kern w:val="0"/>
          <w:sz w:val="24"/>
          <w:szCs w:val="24"/>
          <w:vertAlign w:val="superscript"/>
          <w:lang w:val="en-US" w:eastAsia="zh-CN" w:bidi="ar"/>
        </w:rPr>
        <w:t>[8]</w:t>
      </w:r>
      <w:r>
        <w:rPr>
          <w:rFonts w:hint="eastAsia" w:ascii="宋体" w:hAnsi="宋体" w:eastAsia="宋体" w:cs="宋体"/>
          <w:kern w:val="0"/>
          <w:sz w:val="24"/>
          <w:szCs w:val="24"/>
          <w:lang w:val="en-US" w:eastAsia="zh-CN" w:bidi="ar"/>
        </w:rPr>
        <w:t>362.59亿元，比上年增长14.7%。其中，邮政业务总量18.25亿元，增长11.8%；电信业务总量344.34亿元，增长14.8%。年末固定电话用户524.29万户。其中，城市电话用户364.68万户，农村电话用户159.61万户。新增移动电话用户306.27万户，年末达到2895.78万户，其中3G移动电话用户571.79万户。年末全省固定及移动电话用户总数达到3420.07万户，比上年末增加290.45万户。电话用户普及率达到74.4部/百人。（固定）宽带接入用户375.52万户,移动互联网用户2027.06万户(含无线上网卡用户和手机上网用户)。</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接待海外入境旅客(包括口岸入境一日游)886.4万人次，比上年增长16.1%，实现旅游外汇收入19.47亿美元，增长21.0%。全年接待国内游客1.96亿人次，增长20.2%；实现国内旅游收入1579.49亿元，增长32.1%；全省实现旅游业总收入1702.54亿元，增长31.2%。</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宋体" w:hAnsi="宋体" w:eastAsia="宋体" w:cs="宋体"/>
          <w:b/>
          <w:kern w:val="0"/>
          <w:sz w:val="24"/>
          <w:szCs w:val="24"/>
          <w:lang w:val="en-US" w:eastAsia="zh-CN" w:bidi="ar"/>
        </w:rPr>
        <w:t>七、金融、保险和证券业</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 2012年，全省金融业实现增加值548.05亿元，比上年增长17.6%。年末金融机构人民币存款余额达17966.38亿元，比上年末增长17.0%,其中城乡居民储蓄存款余额7741.59亿元，增长16.3%；年末全省金融机构人民币各项贷款余额达13848.10亿元，比上年增长14.3%。</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 xml:space="preserve"> 全年保险公司原保险保费收入271.13亿元，比上年增长12.5%。其中，财产险业务原保险保费收入123.54亿元，增长13.2%；寿险业务原保险保费收入116.24亿元，增长9.1%；健康险和意外伤害险业务原保险保费收入31.52亿元，增长24.0%。全年支付各类赔款及给付100.11亿元，比上年增长25.3%。其中，财产险业务赔款64.22亿元，增长35.6%；寿险业务给付21.46亿元，增长6.8%；健康险和意外伤害险赔款及给付14.43亿元，增长16.1%。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 全年云南企业通过证券市场融资109.5亿元，比上年增加9.3亿元。其中，A股再融资（包括配股、公开增发、非公开增发、认股权证融资）99.5亿元，增加21.3亿元；上市公司通过发行可转债、可分离债、公司债融资10.0亿元，减少12.0亿元。年末全省有上市公司28家，总股本172.58亿股；总市值1982.0亿元，比上年减少128.3亿元。</w:t>
      </w:r>
    </w:p>
    <w:p>
      <w:pPr>
        <w:keepNext w:val="0"/>
        <w:keepLines w:val="0"/>
        <w:widowControl/>
        <w:suppressLineNumbers w:val="0"/>
        <w:spacing w:before="0" w:beforeAutospacing="1" w:after="0" w:afterAutospacing="1" w:line="360" w:lineRule="auto"/>
        <w:ind w:left="0" w:right="0"/>
        <w:jc w:val="center"/>
      </w:pPr>
      <w:r>
        <w:rPr>
          <w:rFonts w:hint="eastAsia" w:ascii="宋体" w:hAnsi="宋体" w:eastAsia="宋体" w:cs="宋体"/>
          <w:b/>
          <w:kern w:val="0"/>
          <w:sz w:val="24"/>
          <w:szCs w:val="24"/>
          <w:lang w:val="en-US" w:eastAsia="zh-CN" w:bidi="ar"/>
        </w:rPr>
        <w:t>八、教育和科学技术</w:t>
      </w:r>
    </w:p>
    <w:p>
      <w:pPr>
        <w:keepNext w:val="0"/>
        <w:keepLines w:val="0"/>
        <w:widowControl/>
        <w:suppressLineNumbers w:val="0"/>
        <w:spacing w:before="0" w:beforeAutospacing="1" w:after="0" w:afterAutospacing="1"/>
        <w:ind w:left="0" w:right="0" w:firstLine="4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普通高等学校招生14.63万人，比上年下降9.3%；在校学生51.22万人，比上年增长5.0%；毕业生11.89万人，比上年增长8.6%。各类中等职业教育招生22.26万人，在校生67.06万人，毕业生18.71万人。普通高中招生26.13万人，在校生70.62万人，毕业生19.62万人。初中招生67.40万人，在校生195.33万人，毕业生66.50万人。普通小学招生62.29万人，在校生406.70万人，毕业生72.28万人。幼儿园在园幼儿112.23万人。小学学龄儿童入学率达99.6%，小学毕业生升学率达93.3%。高等教育毛入学率达24.3%，高中阶段教育毛入学率达71.2%。</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FF0000"/>
          <w:kern w:val="0"/>
          <w:sz w:val="24"/>
          <w:szCs w:val="24"/>
          <w:lang w:val="en-US" w:eastAsia="zh-CN" w:bidi="ar"/>
        </w:rPr>
        <w:t> </w:t>
      </w:r>
      <w:r>
        <w:rPr>
          <w:rFonts w:hint="eastAsia" w:ascii="宋体" w:hAnsi="宋体" w:eastAsia="宋体" w:cs="宋体"/>
          <w:kern w:val="0"/>
          <w:sz w:val="24"/>
          <w:szCs w:val="24"/>
          <w:lang w:val="en-US" w:eastAsia="zh-CN" w:bidi="ar"/>
        </w:rPr>
        <w:t>全年科学研究与试验发展(R&amp;D)经费支出64.0亿元，比上年增长14.1%，占全省生产总值（GDP）比重0.64%。年末共有国家认定工程技术研究中心2个，省级工程技术研究中心83个，省重点实验室35个，创新型（试点）企业192家。全年共登记科技成果928项，其中基础理论成果86项，应用技术成果803项，软科学成果39项，有10个项目获得2012年度国家科学技术奖。已建立国家级高新技术产业开发区3个，省级高新技术产业开发区1个。全年专利申请9260件，获专利授权5853件；认定登记技术合同2254项，成交金额达45.78亿元，比上年增长2.9倍。</w:t>
      </w:r>
    </w:p>
    <w:p>
      <w:pPr>
        <w:keepNext w:val="0"/>
        <w:keepLines w:val="0"/>
        <w:widowControl/>
        <w:suppressLineNumbers w:val="0"/>
        <w:spacing w:before="0" w:beforeAutospacing="1" w:after="0" w:afterAutospacing="1"/>
        <w:ind w:left="0" w:right="0" w:firstLine="482"/>
        <w:jc w:val="center"/>
      </w:pPr>
      <w:r>
        <w:rPr>
          <w:rFonts w:hint="eastAsia" w:ascii="宋体" w:hAnsi="宋体" w:eastAsia="宋体" w:cs="宋体"/>
          <w:b/>
          <w:kern w:val="0"/>
          <w:sz w:val="24"/>
          <w:szCs w:val="24"/>
          <w:lang w:val="en-US" w:eastAsia="zh-CN" w:bidi="ar"/>
        </w:rPr>
        <w:t>九、文化、卫生和体育业</w:t>
      </w:r>
    </w:p>
    <w:p>
      <w:pPr>
        <w:keepNext w:val="0"/>
        <w:keepLines w:val="0"/>
        <w:widowControl/>
        <w:suppressLineNumbers w:val="0"/>
        <w:spacing w:before="0" w:beforeAutospacing="1" w:after="0" w:afterAutospacing="1"/>
        <w:ind w:left="0" w:right="0" w:firstLine="4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年末全省共有各种艺术表演团体162个，文化馆148个，公共图书馆152个，博物馆85个。全省广播、电视人口覆盖率分别达到96.0%和97.0%。中、短波转播发射台60座，广播电台11座，电视台11座，广播电视台6座，有线电视用户552万户。</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 年末全省共有卫生机构1.01万个,医院924个；卫生机构拥有床位数19.47万张，卫生技术人员16.48万人,其中医生6.69万人。疾病预防控制机构150个，卫生技术人员6433人；专科防治机构30个，卫生技术人员612人；妇幼保健院（所、站）147个，卫生技术人员5698人。乡镇卫生院1379个，床位3.98万张，卫生技术人员2.38万人。全年甲、乙类法定报告传染病发病人数10.14万例，报告死亡1815人；报告传染病发病率218.86/10万，死亡率3.92/10万。</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 全年云南运动员在国际比赛中获金、银、铜牌19枚；在全国比赛中获金、银、铜牌63枚。</w:t>
      </w:r>
    </w:p>
    <w:p>
      <w:pPr>
        <w:keepNext w:val="0"/>
        <w:keepLines w:val="0"/>
        <w:widowControl/>
        <w:suppressLineNumbers w:val="0"/>
        <w:spacing w:before="0" w:beforeAutospacing="1" w:after="0" w:afterAutospacing="1"/>
        <w:ind w:left="0" w:right="0" w:firstLine="4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1072"/>
        <w:jc w:val="left"/>
      </w:pPr>
      <w:r>
        <w:rPr>
          <w:rFonts w:hint="eastAsia" w:ascii="宋体" w:hAnsi="宋体" w:eastAsia="宋体" w:cs="宋体"/>
          <w:b/>
          <w:kern w:val="0"/>
          <w:sz w:val="24"/>
          <w:szCs w:val="24"/>
          <w:lang w:val="en-US" w:eastAsia="zh-CN" w:bidi="ar"/>
        </w:rPr>
        <w:t>十、资源、环境和安全生产</w:t>
      </w:r>
    </w:p>
    <w:p>
      <w:pPr>
        <w:keepNext w:val="0"/>
        <w:keepLines w:val="0"/>
        <w:widowControl/>
        <w:suppressLineNumbers w:val="0"/>
        <w:spacing w:before="0" w:beforeAutospacing="1" w:after="0" w:afterAutospacing="1"/>
        <w:ind w:left="0" w:right="0" w:firstLine="4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全年水资源总量1670.92亿立方米，比上年增长12. 9%；人均水资源3608.09 立方米，增长12.9%。全年平均降水量 1087毫米，比上年增长 10.0%。年末全省水利工程蓄水总量69.62亿立方米，比上年末增长46.9%。全年总用水量 146.03亿立方米，比上年减少 0.5%。万元生产总值用水量</w:t>
      </w:r>
      <w:r>
        <w:rPr>
          <w:rFonts w:hint="eastAsia" w:ascii="宋体" w:hAnsi="宋体" w:eastAsia="宋体" w:cs="宋体"/>
          <w:color w:val="000000"/>
          <w:kern w:val="0"/>
          <w:sz w:val="24"/>
          <w:szCs w:val="24"/>
          <w:vertAlign w:val="superscript"/>
          <w:lang w:val="en-US" w:eastAsia="zh-CN" w:bidi="ar"/>
        </w:rPr>
        <w:t>[9]</w:t>
      </w:r>
      <w:r>
        <w:rPr>
          <w:rFonts w:hint="eastAsia" w:ascii="宋体" w:hAnsi="宋体" w:eastAsia="宋体" w:cs="宋体"/>
          <w:color w:val="000000"/>
          <w:kern w:val="0"/>
          <w:sz w:val="24"/>
          <w:szCs w:val="24"/>
          <w:lang w:val="en-US" w:eastAsia="zh-CN" w:bidi="ar"/>
        </w:rPr>
        <w:t xml:space="preserve"> 141.6立方米，比上年下降13.1%。万元工业增加值用水量74.05立方米，下降1.0%。全省人均用水量为316.97立方米，与上年持平。</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年末全省各级环境监测站114个，环境监测人员1403人。工业固体废物综合利用率达50.3%。城镇污水处理率达80.1%。全年化学需氧量排放量比上年削减1.1%，二氧化硫排放量比上年削减2.75%。</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全年共完成营造林816.7万亩,启动实施4637万亩省级公益林生态效益补偿，治理水土流失面积3383平方公里。截止年底，已确权集体林地面积为1801.4万公顷，其中发放林权证的面积为1787.3万公顷。</w:t>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年末全省自然保护区159个，其中国家级自然保护区20个，省级自然保护区38个。自然保护区面积282万公顷，其中国家级自然保护区面积147万公顷，省级自然保护区面积71万公顷。</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全年在规模以上工业主要能源消费量中，原煤消费量8390.90万吨，比上年增长6.4%；洗精煤消费量1746.42万吨，增长2.9%；焦炭消费量1246.61万吨，增长7.5%，天然气消费量3.5亿立方米，下降7.2%,电力消费量853.28亿千瓦时，增长13.4%。规上单位工业增加值能耗比上年下降3.19%</w:t>
      </w:r>
      <w:r>
        <w:rPr>
          <w:rFonts w:hint="eastAsia" w:ascii="宋体" w:hAnsi="宋体" w:eastAsia="宋体" w:cs="宋体"/>
          <w:b/>
          <w:kern w:val="0"/>
          <w:sz w:val="24"/>
          <w:szCs w:val="24"/>
          <w:lang w:val="en-US" w:eastAsia="zh-CN" w:bidi="ar"/>
        </w:rPr>
        <w:t>；</w:t>
      </w:r>
      <w:r>
        <w:rPr>
          <w:rFonts w:hint="eastAsia" w:ascii="宋体" w:hAnsi="宋体" w:eastAsia="宋体" w:cs="宋体"/>
          <w:b/>
          <w:color w:val="FF0000"/>
          <w:kern w:val="0"/>
          <w:sz w:val="24"/>
          <w:szCs w:val="24"/>
          <w:lang w:val="en-US" w:eastAsia="zh-CN" w:bidi="ar"/>
        </w:rPr>
        <w:t xml:space="preserve"> </w:t>
      </w:r>
    </w:p>
    <w:p>
      <w:pPr>
        <w:keepNext w:val="0"/>
        <w:keepLines w:val="0"/>
        <w:widowControl/>
        <w:suppressLineNumbers w:val="0"/>
        <w:spacing w:before="0" w:beforeAutospacing="1" w:after="0" w:afterAutospacing="1" w:line="360" w:lineRule="auto"/>
        <w:ind w:left="0" w:right="0" w:firstLine="482"/>
        <w:jc w:val="left"/>
      </w:pPr>
      <w:r>
        <w:rPr>
          <w:rFonts w:hint="eastAsia" w:ascii="宋体" w:hAnsi="宋体" w:eastAsia="宋体" w:cs="宋体"/>
          <w:b/>
          <w:kern w:val="0"/>
          <w:sz w:val="24"/>
          <w:szCs w:val="24"/>
          <w:lang w:val="en-US" w:eastAsia="zh-CN" w:bidi="ar"/>
        </w:rPr>
        <w:t> </w:t>
      </w:r>
      <w:r>
        <w:rPr>
          <w:rFonts w:hint="eastAsia" w:ascii="宋体" w:hAnsi="宋体" w:eastAsia="宋体" w:cs="宋体"/>
          <w:color w:val="000000"/>
          <w:kern w:val="0"/>
          <w:sz w:val="24"/>
          <w:szCs w:val="24"/>
          <w:lang w:val="en-US" w:eastAsia="zh-CN" w:bidi="ar"/>
        </w:rPr>
        <w:t>全年生产安全事故死亡人数为1985人，比上年下降16.9%。亿元GDP生产安全事故死亡人数为0.27人，下降29.6%；工矿商贸企业(不含煤矿)生产安全事故死亡人数为236人，下降26.0%；煤矿百万吨死亡人数为1.06人，下降42.5%。全年共发生道路交通事故</w:t>
      </w:r>
      <w:r>
        <w:rPr>
          <w:rFonts w:hint="eastAsia" w:ascii="宋体" w:hAnsi="宋体" w:eastAsia="宋体" w:cs="宋体"/>
          <w:color w:val="000000"/>
          <w:kern w:val="0"/>
          <w:sz w:val="24"/>
          <w:szCs w:val="24"/>
          <w:vertAlign w:val="superscript"/>
          <w:lang w:val="en-US" w:eastAsia="zh-CN" w:bidi="ar"/>
        </w:rPr>
        <w:t>[10]</w:t>
      </w:r>
      <w:r>
        <w:rPr>
          <w:rFonts w:hint="eastAsia" w:ascii="宋体" w:hAnsi="宋体" w:eastAsia="宋体" w:cs="宋体"/>
          <w:color w:val="000000"/>
          <w:kern w:val="0"/>
          <w:sz w:val="24"/>
          <w:szCs w:val="24"/>
          <w:lang w:val="en-US" w:eastAsia="zh-CN" w:bidi="ar"/>
        </w:rPr>
        <w:t>3941起，造成1768人死亡、5056人受伤，直接财产损失2880.60万元；道路交通事故万车死亡率为1.86，下降12.7%。</w:t>
      </w:r>
    </w:p>
    <w:p>
      <w:pPr>
        <w:keepNext w:val="0"/>
        <w:keepLines w:val="0"/>
        <w:widowControl/>
        <w:suppressLineNumbers w:val="0"/>
        <w:spacing w:before="0" w:beforeAutospacing="1" w:after="0" w:afterAutospacing="1" w:line="360" w:lineRule="auto"/>
        <w:ind w:left="0" w:right="0" w:firstLine="4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宋体" w:hAnsi="宋体" w:eastAsia="宋体" w:cs="宋体"/>
          <w:b/>
          <w:kern w:val="0"/>
          <w:sz w:val="24"/>
          <w:szCs w:val="24"/>
          <w:lang w:val="en-US" w:eastAsia="zh-CN" w:bidi="ar"/>
        </w:rPr>
        <w:t>十一、人口、人民生活与社会保障</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年末全省常住人口为4659.0万人，比上年末增加28.0万人。全年出生人口58.7万人，出生率为12.63‰；死亡人口29.8万人，死亡率为6.41‰；自然增长率为6.22‰，比上年下降0.13个千分点。年末全省城镇人口1831.5万人，乡村人口2827.5万人，全省城镇化率达39.31%，比上年提高2.51个百分点。</w:t>
      </w:r>
    </w:p>
    <w:p>
      <w:pPr>
        <w:keepNext w:val="0"/>
        <w:keepLines w:val="0"/>
        <w:widowControl/>
        <w:suppressLineNumbers w:val="0"/>
        <w:spacing w:before="0" w:beforeAutospacing="1" w:after="0" w:afterAutospacing="1"/>
        <w:ind w:left="0" w:right="0" w:firstLine="711"/>
        <w:jc w:val="left"/>
      </w:pPr>
      <w:r>
        <w:rPr>
          <w:rFonts w:hint="eastAsia" w:ascii="宋体" w:hAnsi="宋体" w:eastAsia="宋体" w:cs="宋体"/>
          <w:b/>
          <w:color w:val="000000"/>
          <w:kern w:val="0"/>
          <w:sz w:val="24"/>
          <w:szCs w:val="24"/>
          <w:lang w:val="en-US" w:eastAsia="zh-CN" w:bidi="ar"/>
        </w:rPr>
        <w:t>                                    表8   2012年云南省人口数及其构成</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color w:val="000000"/>
          <w:kern w:val="0"/>
          <w:sz w:val="24"/>
          <w:szCs w:val="24"/>
          <w:lang w:val="en-US" w:eastAsia="zh-CN" w:bidi="ar"/>
        </w:rPr>
        <w:t>                                   　单位：万人</w:t>
      </w:r>
    </w:p>
    <w:tbl>
      <w:tblPr>
        <w:tblW w:w="8306"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760"/>
        <w:gridCol w:w="2802"/>
        <w:gridCol w:w="17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7" w:hRule="atLeast"/>
          <w:jc w:val="center"/>
        </w:trPr>
        <w:tc>
          <w:tcPr>
            <w:tcW w:w="3760" w:type="dxa"/>
            <w:tcBorders>
              <w:top w:val="single" w:color="000000" w:sz="12" w:space="0"/>
              <w:left w:val="nil"/>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hanging="288"/>
              <w:jc w:val="center"/>
            </w:pPr>
            <w:r>
              <w:rPr>
                <w:rFonts w:hint="eastAsia" w:ascii="宋体" w:hAnsi="宋体" w:eastAsia="宋体" w:cs="宋体"/>
                <w:color w:val="000000"/>
                <w:kern w:val="0"/>
                <w:sz w:val="24"/>
                <w:szCs w:val="24"/>
                <w:lang w:val="en-US" w:eastAsia="zh-CN" w:bidi="ar"/>
              </w:rPr>
              <w:t> 指   标</w:t>
            </w:r>
          </w:p>
        </w:tc>
        <w:tc>
          <w:tcPr>
            <w:tcW w:w="2802" w:type="dxa"/>
            <w:tcBorders>
              <w:top w:val="single" w:color="auto" w:sz="12" w:space="0"/>
              <w:left w:val="nil"/>
              <w:bottom w:val="single" w:color="000000" w:sz="8"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年末数</w:t>
            </w:r>
          </w:p>
        </w:tc>
        <w:tc>
          <w:tcPr>
            <w:tcW w:w="1744" w:type="dxa"/>
            <w:tcBorders>
              <w:top w:val="single" w:color="000000" w:sz="12" w:space="0"/>
              <w:left w:val="nil"/>
              <w:bottom w:val="single" w:color="000000" w:sz="8" w:space="0"/>
              <w:right w:val="nil"/>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比重（%）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60"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firstLine="120"/>
              <w:jc w:val="left"/>
            </w:pPr>
            <w:r>
              <w:rPr>
                <w:rFonts w:hint="eastAsia" w:ascii="宋体" w:hAnsi="宋体" w:eastAsia="宋体" w:cs="宋体"/>
                <w:color w:val="000000"/>
                <w:kern w:val="0"/>
                <w:sz w:val="24"/>
                <w:szCs w:val="24"/>
                <w:lang w:val="en-US" w:eastAsia="zh-CN" w:bidi="ar"/>
              </w:rPr>
              <w:t>全省年末总人口</w:t>
            </w:r>
          </w:p>
        </w:tc>
        <w:tc>
          <w:tcPr>
            <w:tcW w:w="2802"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4659.0</w:t>
            </w:r>
          </w:p>
        </w:tc>
        <w:tc>
          <w:tcPr>
            <w:tcW w:w="1744" w:type="dxa"/>
            <w:tcBorders>
              <w:top w:val="nil"/>
              <w:left w:val="nil"/>
              <w:bottom w:val="nil"/>
              <w:right w:val="nil"/>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100.0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60"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firstLine="480"/>
              <w:jc w:val="left"/>
            </w:pPr>
            <w:r>
              <w:rPr>
                <w:rFonts w:hint="eastAsia" w:ascii="宋体" w:hAnsi="宋体" w:eastAsia="宋体" w:cs="宋体"/>
                <w:color w:val="000000"/>
                <w:kern w:val="0"/>
                <w:sz w:val="24"/>
                <w:szCs w:val="24"/>
                <w:lang w:val="en-US" w:eastAsia="zh-CN" w:bidi="ar"/>
              </w:rPr>
              <w:t>其中：城镇</w:t>
            </w:r>
          </w:p>
        </w:tc>
        <w:tc>
          <w:tcPr>
            <w:tcW w:w="2802"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1831.5</w:t>
            </w:r>
          </w:p>
        </w:tc>
        <w:tc>
          <w:tcPr>
            <w:tcW w:w="1744" w:type="dxa"/>
            <w:tcBorders>
              <w:top w:val="nil"/>
              <w:left w:val="nil"/>
              <w:bottom w:val="nil"/>
              <w:right w:val="nil"/>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39.31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60"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firstLine="1200"/>
              <w:jc w:val="left"/>
            </w:pPr>
            <w:r>
              <w:rPr>
                <w:rFonts w:hint="eastAsia" w:ascii="宋体" w:hAnsi="宋体" w:eastAsia="宋体" w:cs="宋体"/>
                <w:color w:val="000000"/>
                <w:kern w:val="0"/>
                <w:sz w:val="24"/>
                <w:szCs w:val="24"/>
                <w:lang w:val="en-US" w:eastAsia="zh-CN" w:bidi="ar"/>
              </w:rPr>
              <w:t>乡村</w:t>
            </w:r>
          </w:p>
        </w:tc>
        <w:tc>
          <w:tcPr>
            <w:tcW w:w="2802"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2827.5</w:t>
            </w:r>
          </w:p>
        </w:tc>
        <w:tc>
          <w:tcPr>
            <w:tcW w:w="1744" w:type="dxa"/>
            <w:tcBorders>
              <w:top w:val="nil"/>
              <w:left w:val="nil"/>
              <w:bottom w:val="nil"/>
              <w:right w:val="nil"/>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60.69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60"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firstLine="480"/>
              <w:jc w:val="left"/>
            </w:pPr>
            <w:r>
              <w:rPr>
                <w:rFonts w:hint="eastAsia" w:ascii="宋体" w:hAnsi="宋体" w:eastAsia="宋体" w:cs="宋体"/>
                <w:color w:val="000000"/>
                <w:kern w:val="0"/>
                <w:sz w:val="24"/>
                <w:szCs w:val="24"/>
                <w:lang w:val="en-US" w:eastAsia="zh-CN" w:bidi="ar"/>
              </w:rPr>
              <w:t>其中：男性</w:t>
            </w:r>
          </w:p>
        </w:tc>
        <w:tc>
          <w:tcPr>
            <w:tcW w:w="2802"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2417.6</w:t>
            </w:r>
          </w:p>
        </w:tc>
        <w:tc>
          <w:tcPr>
            <w:tcW w:w="1744" w:type="dxa"/>
            <w:tcBorders>
              <w:top w:val="nil"/>
              <w:left w:val="nil"/>
              <w:bottom w:val="nil"/>
              <w:right w:val="nil"/>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51.89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60"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firstLine="1200"/>
              <w:jc w:val="left"/>
            </w:pPr>
            <w:r>
              <w:rPr>
                <w:rFonts w:hint="eastAsia" w:ascii="宋体" w:hAnsi="宋体" w:eastAsia="宋体" w:cs="宋体"/>
                <w:color w:val="000000"/>
                <w:kern w:val="0"/>
                <w:sz w:val="24"/>
                <w:szCs w:val="24"/>
                <w:lang w:val="en-US" w:eastAsia="zh-CN" w:bidi="ar"/>
              </w:rPr>
              <w:t>女性</w:t>
            </w:r>
          </w:p>
        </w:tc>
        <w:tc>
          <w:tcPr>
            <w:tcW w:w="2802"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2241.4</w:t>
            </w:r>
          </w:p>
        </w:tc>
        <w:tc>
          <w:tcPr>
            <w:tcW w:w="1744" w:type="dxa"/>
            <w:tcBorders>
              <w:top w:val="nil"/>
              <w:left w:val="nil"/>
              <w:bottom w:val="nil"/>
              <w:right w:val="nil"/>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48.11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60"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firstLine="480"/>
              <w:jc w:val="left"/>
            </w:pPr>
            <w:r>
              <w:rPr>
                <w:rFonts w:hint="eastAsia" w:ascii="宋体" w:hAnsi="宋体" w:eastAsia="宋体" w:cs="宋体"/>
                <w:color w:val="000000"/>
                <w:kern w:val="0"/>
                <w:sz w:val="24"/>
                <w:szCs w:val="24"/>
                <w:lang w:val="en-US" w:eastAsia="zh-CN" w:bidi="ar"/>
              </w:rPr>
              <w:t>其中：0-14岁</w:t>
            </w:r>
          </w:p>
        </w:tc>
        <w:tc>
          <w:tcPr>
            <w:tcW w:w="2802"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903.85</w:t>
            </w:r>
          </w:p>
        </w:tc>
        <w:tc>
          <w:tcPr>
            <w:tcW w:w="1744" w:type="dxa"/>
            <w:tcBorders>
              <w:top w:val="nil"/>
              <w:left w:val="nil"/>
              <w:bottom w:val="nil"/>
              <w:right w:val="nil"/>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19.4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60"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firstLine="1200"/>
              <w:jc w:val="left"/>
            </w:pPr>
            <w:r>
              <w:rPr>
                <w:rFonts w:hint="eastAsia" w:ascii="宋体" w:hAnsi="宋体" w:eastAsia="宋体" w:cs="宋体"/>
                <w:color w:val="000000"/>
                <w:kern w:val="0"/>
                <w:sz w:val="24"/>
                <w:szCs w:val="24"/>
                <w:lang w:val="en-US" w:eastAsia="zh-CN" w:bidi="ar"/>
              </w:rPr>
              <w:t>15-64岁</w:t>
            </w:r>
          </w:p>
        </w:tc>
        <w:tc>
          <w:tcPr>
            <w:tcW w:w="2802" w:type="dxa"/>
            <w:tcBorders>
              <w:top w:val="nil"/>
              <w:left w:val="nil"/>
              <w:bottom w:val="nil"/>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3387.09</w:t>
            </w:r>
          </w:p>
        </w:tc>
        <w:tc>
          <w:tcPr>
            <w:tcW w:w="1744" w:type="dxa"/>
            <w:tcBorders>
              <w:top w:val="nil"/>
              <w:left w:val="nil"/>
              <w:bottom w:val="nil"/>
              <w:right w:val="nil"/>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72.7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jc w:val="center"/>
        </w:trPr>
        <w:tc>
          <w:tcPr>
            <w:tcW w:w="3760" w:type="dxa"/>
            <w:tcBorders>
              <w:top w:val="nil"/>
              <w:left w:val="nil"/>
              <w:bottom w:val="single" w:color="000000" w:sz="12"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firstLine="1200"/>
              <w:jc w:val="left"/>
            </w:pPr>
            <w:r>
              <w:rPr>
                <w:rFonts w:hint="eastAsia" w:ascii="宋体" w:hAnsi="宋体" w:eastAsia="宋体" w:cs="宋体"/>
                <w:color w:val="000000"/>
                <w:kern w:val="0"/>
                <w:sz w:val="24"/>
                <w:szCs w:val="24"/>
                <w:lang w:val="en-US" w:eastAsia="zh-CN" w:bidi="ar"/>
              </w:rPr>
              <w:t>65岁及以上</w:t>
            </w:r>
          </w:p>
        </w:tc>
        <w:tc>
          <w:tcPr>
            <w:tcW w:w="2802" w:type="dxa"/>
            <w:tcBorders>
              <w:top w:val="nil"/>
              <w:left w:val="nil"/>
              <w:bottom w:val="single" w:color="000000" w:sz="12" w:space="0"/>
              <w:right w:val="single" w:color="000000" w:sz="8" w:space="0"/>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368.06</w:t>
            </w:r>
          </w:p>
        </w:tc>
        <w:tc>
          <w:tcPr>
            <w:tcW w:w="1744" w:type="dxa"/>
            <w:tcBorders>
              <w:top w:val="nil"/>
              <w:left w:val="nil"/>
              <w:bottom w:val="single" w:color="000000" w:sz="12" w:space="0"/>
              <w:right w:val="nil"/>
            </w:tcBorders>
            <w:shd w:val="clear"/>
            <w:vAlign w:val="center"/>
          </w:tcPr>
          <w:p>
            <w:pPr>
              <w:keepNext w:val="0"/>
              <w:keepLines w:val="0"/>
              <w:widowControl/>
              <w:suppressLineNumbers w:val="0"/>
              <w:spacing w:before="0" w:beforeAutospacing="1" w:after="0" w:afterAutospacing="1" w:line="240" w:lineRule="atLeast"/>
              <w:ind w:left="0" w:right="0"/>
              <w:jc w:val="center"/>
            </w:pPr>
            <w:r>
              <w:rPr>
                <w:rFonts w:hint="eastAsia" w:ascii="宋体" w:hAnsi="宋体" w:eastAsia="宋体" w:cs="宋体"/>
                <w:color w:val="000000"/>
                <w:kern w:val="0"/>
                <w:sz w:val="24"/>
                <w:szCs w:val="24"/>
                <w:lang w:val="en-US" w:eastAsia="zh-CN" w:bidi="ar"/>
              </w:rPr>
              <w:t>7.9</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360" w:lineRule="auto"/>
        <w:ind w:left="0" w:right="0" w:firstLine="482"/>
        <w:jc w:val="left"/>
        <w:textAlignment w:val="auto"/>
      </w:pPr>
      <w:r>
        <w:rPr>
          <w:rFonts w:hint="eastAsia" w:ascii="宋体" w:hAnsi="宋体" w:eastAsia="宋体" w:cs="宋体"/>
          <w:color w:val="000000"/>
          <w:kern w:val="0"/>
          <w:sz w:val="24"/>
          <w:szCs w:val="24"/>
          <w:lang w:val="en-US" w:eastAsia="zh-CN" w:bidi="ar"/>
        </w:rPr>
        <w:t>全年城镇居民人均可支配收入</w:t>
      </w:r>
      <w:r>
        <w:rPr>
          <w:rFonts w:hint="eastAsia" w:ascii="宋体" w:hAnsi="宋体" w:eastAsia="宋体" w:cs="宋体"/>
          <w:color w:val="000000"/>
          <w:kern w:val="0"/>
          <w:sz w:val="24"/>
          <w:szCs w:val="24"/>
          <w:vertAlign w:val="superscript"/>
          <w:lang w:val="en-US" w:eastAsia="zh-CN" w:bidi="ar"/>
        </w:rPr>
        <w:t>[11]</w:t>
      </w:r>
      <w:r>
        <w:rPr>
          <w:rFonts w:hint="eastAsia" w:ascii="宋体" w:hAnsi="宋体" w:eastAsia="宋体" w:cs="宋体"/>
          <w:color w:val="000000"/>
          <w:kern w:val="0"/>
          <w:sz w:val="24"/>
          <w:szCs w:val="24"/>
          <w:lang w:val="en-US" w:eastAsia="zh-CN" w:bidi="ar"/>
        </w:rPr>
        <w:t>21075元，扣除价格因素，比上年实际增长10.2%；城镇居民人均消费性支出13884元，比上年增长13.4%。全省城镇非私营单位在岗职工年平均工资38908元，比上年增长10.0%。农村居民人均纯收入5417元，扣除价格因素，比上年实际增长12.1%；农村居民人均生活消费支出4561元，比上年增长14.0%。城镇居民家庭食品消费支出占消费总支出的比重为39.4%，农村居民家庭食品消费支出占消费总支出的比重为45.6%。</w:t>
      </w:r>
    </w:p>
    <w:p>
      <w:pPr>
        <w:keepNext w:val="0"/>
        <w:keepLines w:val="0"/>
        <w:widowControl/>
        <w:suppressLineNumbers w:val="0"/>
        <w:spacing w:before="0" w:beforeAutospacing="1" w:after="0" w:afterAutospacing="1" w:line="360" w:lineRule="auto"/>
        <w:ind w:right="0"/>
        <w:jc w:val="left"/>
        <w:rPr>
          <w:rFonts w:hint="eastAsia" w:ascii="宋体" w:hAnsi="宋体" w:eastAsia="宋体" w:cs="宋体"/>
          <w:b/>
          <w:kern w:val="0"/>
          <w:sz w:val="24"/>
          <w:szCs w:val="24"/>
          <w:lang w:val="en-US" w:eastAsia="zh-CN" w:bidi="ar"/>
        </w:rPr>
      </w:pPr>
      <w:r>
        <w:rPr>
          <w:rFonts w:hint="eastAsia" w:ascii="宋体" w:hAnsi="宋体" w:eastAsia="宋体" w:cs="宋体"/>
          <w:b/>
          <w:kern w:val="0"/>
          <w:sz w:val="24"/>
          <w:szCs w:val="24"/>
          <w:lang w:val="en-US" w:eastAsia="zh-CN" w:bidi="ar"/>
        </w:rPr>
        <w:t>                    </w:t>
      </w:r>
    </w:p>
    <w:p>
      <w:pPr>
        <w:keepNext w:val="0"/>
        <w:keepLines w:val="0"/>
        <w:widowControl/>
        <w:suppressLineNumbers w:val="0"/>
        <w:spacing w:before="0" w:beforeAutospacing="1" w:after="0" w:afterAutospacing="1" w:line="360" w:lineRule="auto"/>
        <w:ind w:left="239" w:leftChars="114" w:right="0" w:firstLine="444" w:firstLineChars="185"/>
        <w:jc w:val="left"/>
      </w:pPr>
      <w:r>
        <w:rPr>
          <w:rFonts w:hint="eastAsia" w:ascii="宋体" w:hAnsi="宋体" w:eastAsia="宋体" w:cs="宋体"/>
          <w:color w:val="000000"/>
          <w:kern w:val="0"/>
          <w:sz w:val="24"/>
          <w:szCs w:val="24"/>
          <w:lang w:val="en-US" w:eastAsia="zh-CN" w:bidi="ar"/>
        </w:rPr>
        <w:t>年末全省参加城镇职工基本养老保险人数为364.47万人，比上年末增加21.65万人。其中，参保职工253.76万人，参保离退休人员110.71万人。参加城镇基本医疗保险人数为882.39万人, 增加8.86万人。其中，参加城镇职工基本医疗保险人数</w:t>
      </w:r>
      <w:r>
        <w:rPr>
          <w:rFonts w:hint="eastAsia" w:ascii="宋体" w:hAnsi="宋体" w:eastAsia="宋体" w:cs="宋体"/>
          <w:color w:val="000000"/>
          <w:kern w:val="0"/>
          <w:sz w:val="24"/>
          <w:szCs w:val="24"/>
          <w:vertAlign w:val="superscript"/>
          <w:lang w:val="en-US" w:eastAsia="zh-CN" w:bidi="ar"/>
        </w:rPr>
        <w:t>[12]</w:t>
      </w:r>
      <w:r>
        <w:rPr>
          <w:rFonts w:hint="eastAsia" w:ascii="宋体" w:hAnsi="宋体" w:eastAsia="宋体" w:cs="宋体"/>
          <w:color w:val="000000"/>
          <w:kern w:val="0"/>
          <w:sz w:val="24"/>
          <w:szCs w:val="24"/>
          <w:lang w:val="en-US" w:eastAsia="zh-CN" w:bidi="ar"/>
        </w:rPr>
        <w:t>452.22万人，参加城镇居民基本医疗保险人数430.17万人。参加城镇职工基本医疗保险的农民工为23.29万人。全省参加失业保险人数为224.0万人，比上年末增加7.25万人。参加新型农村社会养老保险的人数为2001.03万人，比上年末增加705.23万人。参加新型农村合作医疗的农民为3468万人，增加12万人，参合率达96.5%，比上年提高0.3个百分点。新型农村合作医疗基金累计支出99.35亿元，累计受益9000万人次。全省享受城市最低生活保障居民为93.59万人，比上年增加0.59万人；享受农村最低生活保障农村居民为437.61万人，比上年增加34.43万人。</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color w:val="000000"/>
          <w:kern w:val="0"/>
          <w:sz w:val="24"/>
          <w:szCs w:val="24"/>
          <w:lang w:val="en-US" w:eastAsia="zh-CN" w:bidi="ar"/>
        </w:rPr>
        <w:t>年末全省共有各类收养性社会福利单位床位5.98万张，全年收养各类人员4.50万人。州（市）级儿童福利院23个，流浪未成年人保护中心6个。农村养老服务机构653个，床位3.80万张，收养各类人员3.07万人</w:t>
      </w:r>
      <w:r>
        <w:rPr>
          <w:rFonts w:hint="eastAsia" w:ascii="宋体" w:hAnsi="宋体" w:eastAsia="宋体" w:cs="宋体"/>
          <w:b/>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各类社区服务设施1077个，其中，社区服务中心173个，社区服务站894个。全年销售社会福利彩票44.87亿元，筹集社会公益金14.65亿元，接受社会捐赠3.2亿元。</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4"/>
          <w:lang w:val="en-US" w:eastAsia="zh-CN" w:bidi="ar"/>
        </w:rPr>
        <w:t>  </w:t>
      </w:r>
      <w:r>
        <w:rPr>
          <w:rFonts w:hint="eastAsia" w:ascii="宋体" w:hAnsi="宋体" w:eastAsia="宋体" w:cs="宋体"/>
          <w:b/>
          <w:kern w:val="0"/>
          <w:sz w:val="24"/>
          <w:szCs w:val="24"/>
          <w:lang w:val="en-US" w:eastAsia="zh-CN" w:bidi="ar"/>
        </w:rPr>
        <w:t>注释</w:t>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480"/>
        <w:jc w:val="left"/>
      </w:pPr>
      <w:r>
        <w:rPr>
          <w:rFonts w:hint="eastAsia" w:ascii="宋体" w:hAnsi="宋体" w:eastAsia="宋体" w:cs="宋体"/>
          <w:kern w:val="0"/>
          <w:sz w:val="24"/>
          <w:szCs w:val="24"/>
          <w:lang w:val="en-US" w:eastAsia="zh-CN" w:bidi="ar"/>
        </w:rPr>
        <w:t> [1]本公报中数据均为初步统计数。</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[2]生产总值、三次产业增加值的绝对值按现价计算，增长速度按可比价计算。</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[3]粮食总产量由国家统计局云南调查总队提供。</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[4]肉类总产量、牛奶产量、禽蛋产量由国家统计局云南调查总队提供。</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[5]规模以上工业企业是指年主营业务收入2000 万元及以上工业法人企业。</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[6]固定资产投资（不含农户）是指计划总投资 500万元以上的固定资产项目投资，其中包括房地产开发投资。</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[7]限额以上批发企业是指年主营业务收入2000万元及以上的企业，限额以上零售企业是指年主营业务收入500万元及以上的企业。</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[8]邮电业务总量按</w:t>
      </w:r>
      <w:r>
        <w:rPr>
          <w:rFonts w:hint="eastAsia" w:ascii="宋体" w:hAnsi="宋体" w:eastAsia="宋体" w:cs="宋体"/>
          <w:color w:val="000000"/>
          <w:kern w:val="0"/>
          <w:sz w:val="24"/>
          <w:szCs w:val="24"/>
          <w:lang w:val="en-US" w:eastAsia="zh-CN" w:bidi="ar"/>
        </w:rPr>
        <w:t>2010</w:t>
      </w:r>
      <w:r>
        <w:rPr>
          <w:rFonts w:hint="eastAsia" w:ascii="宋体" w:hAnsi="宋体" w:eastAsia="宋体" w:cs="宋体"/>
          <w:kern w:val="0"/>
          <w:sz w:val="24"/>
          <w:szCs w:val="24"/>
          <w:lang w:val="en-US" w:eastAsia="zh-CN" w:bidi="ar"/>
        </w:rPr>
        <w:t>年不变价格计算。</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[9]万元生产总值用水量、万元工业增加值用水量、单位生产总值能耗按</w:t>
      </w:r>
      <w:r>
        <w:rPr>
          <w:rFonts w:hint="eastAsia" w:ascii="宋体" w:hAnsi="宋体" w:eastAsia="宋体" w:cs="宋体"/>
          <w:color w:val="000000"/>
          <w:kern w:val="0"/>
          <w:sz w:val="24"/>
          <w:szCs w:val="24"/>
          <w:lang w:val="en-US" w:eastAsia="zh-CN" w:bidi="ar"/>
        </w:rPr>
        <w:t>2010</w:t>
      </w:r>
      <w:r>
        <w:rPr>
          <w:rFonts w:hint="eastAsia" w:ascii="宋体" w:hAnsi="宋体" w:eastAsia="宋体" w:cs="宋体"/>
          <w:kern w:val="0"/>
          <w:sz w:val="24"/>
          <w:szCs w:val="24"/>
          <w:lang w:val="en-US" w:eastAsia="zh-CN" w:bidi="ar"/>
        </w:rPr>
        <w:t>年不变价格计算。</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[10]</w:t>
      </w:r>
      <w:r>
        <w:rPr>
          <w:rFonts w:hint="eastAsia" w:ascii="宋体" w:hAnsi="宋体" w:eastAsia="宋体" w:cs="宋体"/>
          <w:color w:val="000000"/>
          <w:kern w:val="0"/>
          <w:sz w:val="24"/>
          <w:szCs w:val="24"/>
          <w:lang w:val="en-US" w:eastAsia="zh-CN" w:bidi="ar"/>
        </w:rPr>
        <w:t>道路交通事故数由云南省交警总队提供。</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[11]城镇居民人均可支配收入和农村居民人均纯收入的增长速度为扣除价格因素影响后的实际增速, 城镇居民人均消费性支出和农村居民人均生活消费支出的增长速度未扣除价格因素的影响。城乡居民收入数据由国家统计局云南调查总队提供。</w:t>
      </w:r>
    </w:p>
    <w:p>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4"/>
          <w:szCs w:val="24"/>
          <w:lang w:val="en-US" w:eastAsia="zh-CN" w:bidi="ar"/>
        </w:rPr>
        <w:t>　　[12]城镇职工基本医疗保险人数包括参保职工和参保退休人员。城镇居民基本医疗保险的参保对象是不属于城镇职工基本医疗保险覆盖范围的城镇非从业人员。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F8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于未1398044912</cp:lastModifiedBy>
  <dcterms:modified xsi:type="dcterms:W3CDTF">2022-01-06T08:50:22Z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