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color w:val="0066CC"/>
          <w:sz w:val="31"/>
          <w:szCs w:val="31"/>
        </w:rPr>
      </w:pPr>
      <w:r>
        <w:rPr>
          <w:rFonts w:ascii="宋体" w:hAnsi="宋体" w:eastAsia="宋体" w:cs="宋体"/>
          <w:b/>
          <w:color w:val="0066CC"/>
          <w:kern w:val="0"/>
          <w:sz w:val="31"/>
          <w:szCs w:val="31"/>
          <w:lang w:val="en-US" w:eastAsia="zh-CN" w:bidi="ar"/>
        </w:rPr>
        <w:t xml:space="preserve">云南省2011年国民经济和社会发展统计公报 </w:t>
      </w:r>
    </w:p>
    <w:p>
      <w:pPr>
        <w:keepNext w:val="0"/>
        <w:keepLines w:val="0"/>
        <w:widowControl/>
        <w:suppressLineNumbers w:val="0"/>
        <w:rPr>
          <w:color w:val="CCCCCC"/>
        </w:rPr>
      </w:pPr>
      <w:r>
        <w:rPr>
          <w:b/>
          <w:color w:val="0066CC"/>
          <w:sz w:val="31"/>
          <w:szCs w:val="31"/>
        </w:rPr>
        <w:pict>
          <v:rect id="_x0000_i1025" o:spt="1" style="height:0.75pt;width:432pt;" fillcolor="#CCCCCC"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jc w:val="center"/>
      </w:pPr>
      <w:r>
        <w:rPr>
          <w:rFonts w:ascii="宋体" w:hAnsi="宋体" w:eastAsia="宋体" w:cs="宋体"/>
          <w:color w:val="A9A9A9"/>
          <w:kern w:val="0"/>
          <w:sz w:val="18"/>
          <w:szCs w:val="18"/>
          <w:lang w:val="en-US" w:eastAsia="zh-CN" w:bidi="ar"/>
        </w:rPr>
        <w:t>来源：国民经济综合统计处   2012-04-28 10:17:14</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bookmarkStart w:id="0" w:name="OLE_LINK3"/>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云  南  省  统  计  局</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国家统计局云南调查总队</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2012年4月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2011年，在国内外复杂多变的严峻形势下，全省上下坚持以科学发展观为统领，认真贯彻落实国家各项宏观调控政策，大力推进“两强一堡”建设，以转变经济发展方式为主线，以改善和保障民生为落脚点，以提高自主创新能力为突破口，在调结构、转方式，强产业、增动力，惠民生、促和谐上狠下功夫，促进全省经济社会又好又快发展，实现了云南“十二五”科学发展和谐发展跨越发展的良好开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一、综     合</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初步核算，2011年全省生产总值</w:t>
      </w:r>
      <w:r>
        <w:rPr>
          <w:rFonts w:hint="eastAsia" w:ascii="宋体" w:hAnsi="宋体" w:eastAsia="宋体" w:cs="宋体"/>
          <w:kern w:val="0"/>
          <w:sz w:val="24"/>
          <w:szCs w:val="24"/>
          <w:vertAlign w:val="superscript"/>
          <w:lang w:val="en-US" w:eastAsia="zh-CN" w:bidi="ar"/>
        </w:rPr>
        <w:t>[2]</w:t>
      </w:r>
      <w:r>
        <w:rPr>
          <w:rFonts w:hint="eastAsia" w:ascii="宋体" w:hAnsi="宋体" w:eastAsia="宋体" w:cs="宋体"/>
          <w:kern w:val="0"/>
          <w:sz w:val="24"/>
          <w:szCs w:val="24"/>
          <w:lang w:val="en-US" w:eastAsia="zh-CN" w:bidi="ar"/>
        </w:rPr>
        <w:t>(GDP)完成8750.95亿元，比上年增长13.7%，高于全国4.5个百分点。分三次产业看，第一产业增加值1407.81亿元，增长6.0%；第二产业增加值3990.97亿元，增长18.0%；第三产业增加值3352.17亿元，增长11.8%。三次产业结构由上年的15.4:44.6:40.0调整为16.1:45.6</w:t>
      </w:r>
      <w:bookmarkStart w:id="1" w:name="OLE_LINK2"/>
      <w:r>
        <w:rPr>
          <w:rFonts w:hint="eastAsia" w:ascii="宋体" w:hAnsi="宋体" w:eastAsia="宋体" w:cs="宋体"/>
          <w:kern w:val="0"/>
          <w:sz w:val="24"/>
          <w:szCs w:val="24"/>
          <w:lang w:val="en-US" w:eastAsia="zh-CN" w:bidi="ar"/>
        </w:rPr>
        <w:t>:</w:t>
      </w:r>
      <w:bookmarkEnd w:id="1"/>
      <w:r>
        <w:rPr>
          <w:rFonts w:hint="eastAsia" w:ascii="宋体" w:hAnsi="宋体" w:eastAsia="宋体" w:cs="宋体"/>
          <w:kern w:val="0"/>
          <w:sz w:val="24"/>
          <w:szCs w:val="24"/>
          <w:lang w:val="en-US" w:eastAsia="zh-CN" w:bidi="ar"/>
        </w:rPr>
        <w:t>38.3。全省人均生产总值(GDP)达到18957元，比上年增长13.0%。非公经济创造增加值3679.78亿元，占全省生产总值的比重达42.1%，比上年提高1.5个百分点。</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图片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图片 2" o:spid="_x0000_s1026" o:spt="1" style="position:absolute;left:0pt;margin-left:0pt;margin-top:0pt;height:50pt;width:50pt;visibility:hidden;z-index:251659264;mso-width-relative:page;mso-height-relative:page;" filled="f" stroked="t" coordsize="21600,21600" o:gfxdata="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e3edvUAAAA&#10;BQEAAA8AAAAAAAAAAQAgAAAAIgAAAGRycy9kb3ducmV2LnhtbFBLAQIUABQAAAAIAIdO4kBU1Rwy&#10;6AEAANcDAAAOAAAAAAAAAAEAIAAAACMBAABkcnMvZTJvRG9jLnhtbFBLBQYAAAAABgAGAFkBAAB9&#10;BQAAAAA=&#10;">
                <v:fill on="f" focussize="0,0"/>
                <v:stroke color="#000000" joinstyle="miter"/>
                <v:imagedata o:title=""/>
                <o:lock v:ext="edit" selection="t" aspectratio="f"/>
              </v:rect>
            </w:pict>
          </mc:Fallback>
        </mc:AlternateContent>
      </w:r>
      <w:r>
        <w:rPr>
          <w:rFonts w:hint="eastAsia" w:ascii="宋体" w:hAnsi="宋体" w:eastAsia="宋体" w:cs="宋体"/>
          <w:kern w:val="0"/>
          <w:sz w:val="24"/>
          <w:szCs w:val="24"/>
          <w:lang w:val="en-US" w:eastAsia="zh-CN" w:bidi="ar"/>
        </w:rPr>
        <w:t>全省财政总收入完成2258.2亿元，比上年增长24.8%。</w:t>
      </w:r>
      <w:bookmarkStart w:id="2" w:name="OLE_LINK1"/>
      <w:r>
        <w:rPr>
          <w:rFonts w:hint="eastAsia" w:ascii="宋体" w:hAnsi="宋体" w:eastAsia="宋体" w:cs="宋体"/>
          <w:kern w:val="0"/>
          <w:sz w:val="24"/>
          <w:szCs w:val="24"/>
          <w:lang w:val="en-US" w:eastAsia="zh-CN" w:bidi="ar"/>
        </w:rPr>
        <w:t>全省地方财政一般预算收入</w:t>
      </w:r>
      <w:bookmarkEnd w:id="2"/>
      <w:r>
        <w:rPr>
          <w:rFonts w:hint="eastAsia" w:ascii="宋体" w:hAnsi="宋体" w:eastAsia="宋体" w:cs="宋体"/>
          <w:kern w:val="0"/>
          <w:sz w:val="24"/>
          <w:szCs w:val="24"/>
          <w:lang w:val="en-US" w:eastAsia="zh-CN" w:bidi="ar"/>
        </w:rPr>
        <w:t>完成1110.83亿元，比上年增长27.5%；其中增值税完成136.64亿元，增长 21.2%；营业税277.71亿元，增长17.0%；企业所得税110.6亿元，增长34.4%。全省地方财政一般预算支出完成2929.59亿元，比上年增长28.2%，其中，用于农林水事务、教育、医疗卫生、住房保障支出、社会保障与就业的支出分别增长25.2%、28.9%、29.0%、35.3%和26.8%。 </w:t>
      </w:r>
      <w:bookmarkStart w:id="3" w:name="_GoBack"/>
      <w:bookmarkEnd w:id="3"/>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居民消费价格比上年上涨4.9%，其中食品价格上涨11.5%。工业生产者出厂价格上涨4.7%。工业生产者购进价格上涨8.0%。固定资产投资价格上涨4.6%。农业生产资料价格上涨8.3%。农产品生产价格上涨17.6%。</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表1  2011年云南省居民消费价格比上年涨跌幅度</w:t>
      </w:r>
    </w:p>
    <w:p>
      <w:pPr>
        <w:keepNext w:val="0"/>
        <w:keepLines w:val="0"/>
        <w:widowControl/>
        <w:suppressLineNumbers w:val="0"/>
        <w:spacing w:before="0" w:beforeAutospacing="0" w:after="0" w:afterAutospacing="0" w:line="0" w:lineRule="atLeast"/>
        <w:ind w:left="0" w:right="0" w:firstLine="468" w:firstLineChars="195"/>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单位：%</w:t>
      </w:r>
    </w:p>
    <w:tbl>
      <w:tblPr>
        <w:tblW w:w="7848" w:type="dxa"/>
        <w:jc w:val="center"/>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60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cantSplit/>
          <w:jc w:val="center"/>
        </w:trPr>
        <w:tc>
          <w:tcPr>
            <w:tcW w:w="460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指</w:t>
            </w:r>
            <w:r>
              <w:rPr>
                <w:rFonts w:hint="eastAsia" w:ascii="宋体" w:hAnsi="宋体" w:eastAsia="宋体" w:cs="宋体"/>
                <w:b/>
                <w:bCs w:val="0"/>
                <w:kern w:val="0"/>
                <w:sz w:val="24"/>
                <w:szCs w:val="24"/>
                <w:bdr w:val="none" w:color="auto" w:sz="0" w:space="0"/>
                <w:lang w:val="en-US"/>
              </w:rPr>
              <w:t xml:space="preserve">   </w:t>
            </w:r>
            <w:r>
              <w:rPr>
                <w:rFonts w:hint="eastAsia" w:ascii="宋体" w:hAnsi="宋体" w:eastAsia="宋体" w:cs="宋体"/>
                <w:b/>
                <w:bCs w:val="0"/>
                <w:kern w:val="0"/>
                <w:sz w:val="24"/>
                <w:szCs w:val="24"/>
                <w:bdr w:val="none" w:color="auto" w:sz="0" w:space="0"/>
              </w:rPr>
              <w:t>标</w:t>
            </w:r>
          </w:p>
        </w:tc>
        <w:tc>
          <w:tcPr>
            <w:tcW w:w="1080" w:type="dxa"/>
            <w:vMerge w:val="restart"/>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0" w:beforeAutospacing="0" w:after="0" w:afterAutospacing="0" w:line="0" w:lineRule="atLeast"/>
              <w:ind w:left="0" w:right="0" w:firstLine="241" w:firstLineChars="100"/>
              <w:jc w:val="left"/>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全省</w:t>
            </w:r>
          </w:p>
        </w:tc>
        <w:tc>
          <w:tcPr>
            <w:tcW w:w="2160" w:type="dxa"/>
            <w:gridSpan w:val="2"/>
            <w:tcBorders>
              <w:top w:val="single" w:color="auto" w:sz="4" w:space="0"/>
              <w:left w:val="nil"/>
              <w:bottom w:val="single" w:color="auto" w:sz="4" w:space="0"/>
              <w:right w:val="nil"/>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b/>
                <w:bCs w:val="0"/>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460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c>
          <w:tcPr>
            <w:tcW w:w="1080" w:type="dxa"/>
            <w:vMerge w:val="continue"/>
            <w:tcBorders>
              <w:top w:val="single" w:color="auto" w:sz="4" w:space="0"/>
              <w:left w:val="single" w:color="auto" w:sz="4" w:space="0"/>
              <w:bottom w:val="single" w:color="auto" w:sz="4" w:space="0"/>
              <w:right w:val="nil"/>
            </w:tcBorders>
            <w:shd w:val="clear"/>
            <w:vAlign w:val="center"/>
          </w:tcPr>
          <w:p>
            <w:pPr>
              <w:rPr>
                <w:rFonts w:hint="eastAsia" w:ascii="宋体"/>
                <w:sz w:val="24"/>
                <w:szCs w:val="24"/>
              </w:rPr>
            </w:pPr>
          </w:p>
        </w:tc>
        <w:tc>
          <w:tcPr>
            <w:tcW w:w="10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城市</w:t>
            </w:r>
          </w:p>
        </w:tc>
        <w:tc>
          <w:tcPr>
            <w:tcW w:w="1080" w:type="dxa"/>
            <w:tcBorders>
              <w:top w:val="single" w:color="auto" w:sz="4" w:space="0"/>
              <w:left w:val="single" w:color="auto" w:sz="4" w:space="0"/>
              <w:bottom w:val="single" w:color="auto" w:sz="4" w:space="0"/>
              <w:right w:val="nil"/>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single" w:color="auto" w:sz="4" w:space="0"/>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居民消费价格</w:t>
            </w:r>
          </w:p>
        </w:tc>
        <w:tc>
          <w:tcPr>
            <w:tcW w:w="1080" w:type="dxa"/>
            <w:tcBorders>
              <w:top w:val="single" w:color="auto" w:sz="4" w:space="0"/>
              <w:left w:val="single" w:color="auto" w:sz="4" w:space="0"/>
              <w:bottom w:val="nil"/>
              <w:right w:val="single" w:color="auto" w:sz="4" w:space="0"/>
            </w:tcBorders>
            <w:shd w:val="clear"/>
            <w:tcMar>
              <w:right w:w="284" w:type="dxa"/>
            </w:tcM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4.9</w:t>
            </w:r>
          </w:p>
        </w:tc>
        <w:tc>
          <w:tcPr>
            <w:tcW w:w="1080" w:type="dxa"/>
            <w:tcBorders>
              <w:top w:val="single" w:color="auto" w:sz="4" w:space="0"/>
              <w:left w:val="single" w:color="auto" w:sz="4" w:space="0"/>
              <w:bottom w:val="nil"/>
              <w:right w:val="single" w:color="auto" w:sz="4" w:space="0"/>
            </w:tcBorders>
            <w:shd w:val="clear"/>
            <w:tcMar>
              <w:right w:w="284" w:type="dxa"/>
            </w:tcM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4.8</w:t>
            </w:r>
          </w:p>
        </w:tc>
        <w:tc>
          <w:tcPr>
            <w:tcW w:w="1080" w:type="dxa"/>
            <w:tcBorders>
              <w:top w:val="single" w:color="auto" w:sz="4" w:space="0"/>
              <w:left w:val="single" w:color="auto" w:sz="4" w:space="0"/>
              <w:bottom w:val="nil"/>
              <w:right w:val="nil"/>
            </w:tcBorders>
            <w:shd w:val="clear"/>
            <w:tcMar>
              <w:right w:w="284" w:type="dxa"/>
            </w:tcM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食</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品</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11.5</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11.1</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其中：粮食</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11.9</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12.0</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油脂</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13.0</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13.6</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肉禽及其制品</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24.8</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24.8</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烟酒及用品</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0.8</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0.7</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衣</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着</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0.5</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0.2</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家庭设备用品及维修服务</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3.9</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医疗保健及个人用品</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3.3</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4.1</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交通和通信</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0.0</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0.2</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nil"/>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娱乐教育文化用品及服务</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-0.3</w:t>
            </w:r>
          </w:p>
        </w:tc>
        <w:tc>
          <w:tcPr>
            <w:tcW w:w="1080"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-0.5</w:t>
            </w:r>
          </w:p>
        </w:tc>
        <w:tc>
          <w:tcPr>
            <w:tcW w:w="1080" w:type="dxa"/>
            <w:tcBorders>
              <w:top w:val="nil"/>
              <w:left w:val="single" w:color="auto" w:sz="4" w:space="0"/>
              <w:bottom w:val="nil"/>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4608" w:type="dxa"/>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0" w:lineRule="atLeast"/>
              <w:ind w:left="0" w:right="0" w:firstLine="240" w:firstLineChars="1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居</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住</w:t>
            </w:r>
          </w:p>
        </w:tc>
        <w:tc>
          <w:tcPr>
            <w:tcW w:w="1080" w:type="dxa"/>
            <w:tcBorders>
              <w:top w:val="nil"/>
              <w:left w:val="single" w:color="auto" w:sz="4" w:space="0"/>
              <w:bottom w:val="single" w:color="auto" w:sz="4" w:space="0"/>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4.4</w:t>
            </w:r>
          </w:p>
        </w:tc>
        <w:tc>
          <w:tcPr>
            <w:tcW w:w="1080" w:type="dxa"/>
            <w:tcBorders>
              <w:top w:val="nil"/>
              <w:left w:val="single" w:color="auto" w:sz="4" w:space="0"/>
              <w:bottom w:val="single" w:color="auto" w:sz="4" w:space="0"/>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3.9</w:t>
            </w:r>
          </w:p>
        </w:tc>
        <w:tc>
          <w:tcPr>
            <w:tcW w:w="1080" w:type="dxa"/>
            <w:tcBorders>
              <w:top w:val="nil"/>
              <w:left w:val="single" w:color="auto" w:sz="4" w:space="0"/>
              <w:bottom w:val="single" w:color="auto" w:sz="4" w:space="0"/>
              <w:right w:val="nil"/>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5.2</w:t>
            </w:r>
          </w:p>
        </w:tc>
      </w:tr>
    </w:tbl>
    <w:p>
      <w:pPr>
        <w:keepNext w:val="0"/>
        <w:keepLines w:val="0"/>
        <w:widowControl/>
        <w:suppressLineNumbers w:val="0"/>
        <w:spacing w:before="0" w:beforeAutospacing="0" w:after="0" w:afterAutospacing="0" w:line="0" w:lineRule="atLeast"/>
        <w:ind w:left="0" w:right="0" w:firstLine="1200" w:firstLineChars="5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注：居民消费价格及相关价格指数由国家统计局云南调查总队提供。</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二、农     业</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完成农业总产值2306.5亿元，比上年增长6.1%。其中，种植业产值1124.7亿元，增长6.8%；林业产值246亿元，增长12.2%；畜牧业产值808亿元，增长2.5%；渔业产值56亿元，增长9.2%；农林牧渔服务业产值72亿元，增长7.5%。</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全年粮食总产量</w:t>
      </w:r>
      <w:r>
        <w:rPr>
          <w:rFonts w:hint="eastAsia" w:ascii="宋体" w:hAnsi="宋体" w:eastAsia="宋体" w:cs="宋体"/>
          <w:kern w:val="0"/>
          <w:sz w:val="24"/>
          <w:szCs w:val="24"/>
          <w:vertAlign w:val="superscript"/>
          <w:lang w:val="en-US" w:eastAsia="zh-CN" w:bidi="ar"/>
        </w:rPr>
        <w:t>[3]</w:t>
      </w:r>
      <w:r>
        <w:rPr>
          <w:rFonts w:hint="eastAsia" w:ascii="宋体" w:hAnsi="宋体" w:eastAsia="宋体" w:cs="宋体"/>
          <w:kern w:val="0"/>
          <w:sz w:val="24"/>
          <w:szCs w:val="24"/>
          <w:lang w:val="en-US" w:eastAsia="zh-CN" w:bidi="ar"/>
        </w:rPr>
        <w:t>达1673.6万吨，比上年增长9.3%。油料产量60.75万吨，比上年增长77.5%；烤烟产量102万吨，增长6.7%；蔬菜产量1340万吨，增长6.8%；园林水果产量405.39万吨，增长18.7%；茶叶产量23.83万吨，增长14.9%；鲜切花产量65.03亿枝，增长7.5%。</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全年肉类总产量</w:t>
      </w:r>
      <w:r>
        <w:rPr>
          <w:rFonts w:hint="eastAsia" w:ascii="宋体" w:hAnsi="宋体" w:eastAsia="宋体" w:cs="宋体"/>
          <w:kern w:val="0"/>
          <w:sz w:val="24"/>
          <w:szCs w:val="24"/>
          <w:vertAlign w:val="superscript"/>
          <w:lang w:val="en-US" w:eastAsia="zh-CN" w:bidi="ar"/>
        </w:rPr>
        <w:t>[4]</w:t>
      </w:r>
      <w:r>
        <w:rPr>
          <w:rFonts w:hint="eastAsia" w:ascii="宋体" w:hAnsi="宋体" w:eastAsia="宋体" w:cs="宋体"/>
          <w:kern w:val="0"/>
          <w:sz w:val="24"/>
          <w:szCs w:val="24"/>
          <w:lang w:val="en-US" w:eastAsia="zh-CN" w:bidi="ar"/>
        </w:rPr>
        <w:t>达324.36万吨，比上年增长0.9%；牛奶产量52.39万吨，增长3.9%；禽蛋产量21.65万吨，增长4.1%。</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全年新增有效灌溉面积86.6万亩，新增节水灌溉面积53.5万亩。</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表2  2011年云南省主要农产品产量及其增长速度</w:t>
      </w:r>
    </w:p>
    <w:p>
      <w:pPr>
        <w:keepNext w:val="0"/>
        <w:keepLines w:val="0"/>
        <w:widowControl/>
        <w:suppressLineNumbers w:val="0"/>
        <w:tabs>
          <w:tab w:val="left" w:pos="7110"/>
        </w:tabs>
        <w:spacing w:before="0" w:beforeAutospacing="0" w:after="0" w:afterAutospacing="0" w:line="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单位：万吨  </w:t>
      </w:r>
    </w:p>
    <w:tbl>
      <w:tblPr>
        <w:tblW w:w="7200" w:type="dxa"/>
        <w:jc w:val="center"/>
        <w:tblInd w:w="553" w:type="dxa"/>
        <w:shd w:val="clear"/>
        <w:tblLayout w:type="fixed"/>
        <w:tblCellMar>
          <w:top w:w="0" w:type="dxa"/>
          <w:left w:w="0" w:type="dxa"/>
          <w:bottom w:w="0" w:type="dxa"/>
          <w:right w:w="0" w:type="dxa"/>
        </w:tblCellMar>
      </w:tblPr>
      <w:tblGrid>
        <w:gridCol w:w="2558"/>
        <w:gridCol w:w="1569"/>
        <w:gridCol w:w="733"/>
        <w:gridCol w:w="1607"/>
        <w:gridCol w:w="733"/>
      </w:tblGrid>
      <w:tr>
        <w:tblPrEx>
          <w:shd w:val="clear"/>
          <w:tblLayout w:type="fixed"/>
          <w:tblCellMar>
            <w:top w:w="0" w:type="dxa"/>
            <w:left w:w="0" w:type="dxa"/>
            <w:bottom w:w="0" w:type="dxa"/>
            <w:right w:w="0" w:type="dxa"/>
          </w:tblCellMar>
        </w:tblPrEx>
        <w:trPr>
          <w:trHeight w:val="454" w:hRule="atLeast"/>
          <w:jc w:val="center"/>
        </w:trPr>
        <w:tc>
          <w:tcPr>
            <w:tcW w:w="2558" w:type="dxa"/>
            <w:tcBorders>
              <w:top w:val="single" w:color="auto" w:sz="12" w:space="0"/>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产品名称</w:t>
            </w:r>
          </w:p>
        </w:tc>
        <w:tc>
          <w:tcPr>
            <w:tcW w:w="2302" w:type="dxa"/>
            <w:gridSpan w:val="2"/>
            <w:tcBorders>
              <w:top w:val="single" w:color="auto" w:sz="12" w:space="0"/>
              <w:left w:val="single" w:color="auto" w:sz="8" w:space="0"/>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产</w:t>
            </w:r>
            <w:r>
              <w:rPr>
                <w:rFonts w:hint="eastAsia" w:ascii="宋体" w:hAnsi="宋体" w:eastAsia="宋体" w:cs="宋体"/>
                <w:b/>
                <w:bCs w:val="0"/>
                <w:kern w:val="0"/>
                <w:sz w:val="24"/>
                <w:szCs w:val="24"/>
                <w:bdr w:val="none" w:color="auto" w:sz="0" w:space="0"/>
                <w:lang w:val="en-US"/>
              </w:rPr>
              <w:t xml:space="preserve">  </w:t>
            </w:r>
            <w:r>
              <w:rPr>
                <w:rFonts w:hint="eastAsia" w:ascii="宋体" w:hAnsi="宋体" w:eastAsia="宋体" w:cs="宋体"/>
                <w:b/>
                <w:bCs w:val="0"/>
                <w:kern w:val="0"/>
                <w:sz w:val="24"/>
                <w:szCs w:val="24"/>
                <w:bdr w:val="none" w:color="auto" w:sz="0" w:space="0"/>
              </w:rPr>
              <w:t>量</w:t>
            </w:r>
          </w:p>
        </w:tc>
        <w:tc>
          <w:tcPr>
            <w:tcW w:w="2340" w:type="dxa"/>
            <w:gridSpan w:val="2"/>
            <w:tcBorders>
              <w:top w:val="single" w:color="auto" w:sz="12" w:space="0"/>
              <w:left w:val="single" w:color="auto" w:sz="8" w:space="0"/>
              <w:bottom w:val="single" w:color="auto" w:sz="4" w:space="0"/>
              <w:right w:val="nil"/>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比上年增长</w:t>
            </w:r>
            <w:r>
              <w:rPr>
                <w:rFonts w:hint="eastAsia" w:ascii="宋体" w:hAnsi="宋体" w:eastAsia="宋体" w:cs="宋体"/>
                <w:b/>
                <w:bCs w:val="0"/>
                <w:kern w:val="0"/>
                <w:sz w:val="24"/>
                <w:szCs w:val="24"/>
                <w:bdr w:val="none" w:color="auto" w:sz="0" w:space="0"/>
                <w:lang w:val="en-US"/>
              </w:rPr>
              <w:t>%</w:t>
            </w:r>
          </w:p>
        </w:tc>
      </w:tr>
      <w:tr>
        <w:tblPrEx>
          <w:tblLayout w:type="fixed"/>
          <w:tblCellMar>
            <w:top w:w="0" w:type="dxa"/>
            <w:left w:w="0" w:type="dxa"/>
            <w:bottom w:w="0" w:type="dxa"/>
            <w:right w:w="0" w:type="dxa"/>
          </w:tblCellMar>
        </w:tblPrEx>
        <w:trPr>
          <w:trHeight w:val="260"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粮</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食</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1673.6</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9.3</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油</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料</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60.75</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77.5</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甘</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蔗</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1898.78</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8.4</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烤</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烟</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pPr>
            <w:r>
              <w:rPr>
                <w:rFonts w:hint="eastAsia" w:ascii="宋体" w:hAnsi="宋体" w:eastAsia="宋体" w:cs="宋体"/>
                <w:kern w:val="0"/>
                <w:sz w:val="24"/>
                <w:szCs w:val="24"/>
                <w:bdr w:val="none" w:color="auto" w:sz="0" w:space="0"/>
                <w:lang w:val="en-US"/>
              </w:rPr>
              <w:t>101.82</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6.7</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蔬</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菜</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1340.00</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6.8</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花</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卉（亿枝）</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65.03</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7.5</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园林水果</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405.39</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18.7</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茶</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叶</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23.83</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14.9</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橡  胶</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36.34</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9.9</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核</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桃</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31.01</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24.9</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咖</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啡</w:t>
            </w:r>
          </w:p>
        </w:tc>
        <w:tc>
          <w:tcPr>
            <w:tcW w:w="1569"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6.5</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31.6</w:t>
            </w:r>
          </w:p>
        </w:tc>
        <w:tc>
          <w:tcPr>
            <w:tcW w:w="733"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255" w:hRule="atLeast"/>
          <w:jc w:val="center"/>
        </w:trPr>
        <w:tc>
          <w:tcPr>
            <w:tcW w:w="2558" w:type="dxa"/>
            <w:tcBorders>
              <w:top w:val="nil"/>
              <w:left w:val="nil"/>
              <w:bottom w:val="single" w:color="auto" w:sz="12"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水产品</w:t>
            </w:r>
          </w:p>
        </w:tc>
        <w:tc>
          <w:tcPr>
            <w:tcW w:w="1569" w:type="dxa"/>
            <w:tcBorders>
              <w:top w:val="nil"/>
              <w:left w:val="single" w:color="auto" w:sz="8" w:space="0"/>
              <w:bottom w:val="single" w:color="auto" w:sz="12" w:space="0"/>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54.88</w:t>
            </w:r>
          </w:p>
        </w:tc>
        <w:tc>
          <w:tcPr>
            <w:tcW w:w="733" w:type="dxa"/>
            <w:tcBorders>
              <w:top w:val="nil"/>
              <w:left w:val="nil"/>
              <w:bottom w:val="single" w:color="auto" w:sz="12" w:space="0"/>
              <w:right w:val="single" w:color="auto" w:sz="8" w:space="0"/>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607" w:type="dxa"/>
            <w:tcBorders>
              <w:top w:val="nil"/>
              <w:left w:val="single" w:color="auto" w:sz="8" w:space="0"/>
              <w:bottom w:val="single" w:color="auto" w:sz="12" w:space="0"/>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13.9</w:t>
            </w:r>
          </w:p>
        </w:tc>
        <w:tc>
          <w:tcPr>
            <w:tcW w:w="733" w:type="dxa"/>
            <w:tcBorders>
              <w:top w:val="nil"/>
              <w:left w:val="nil"/>
              <w:bottom w:val="single" w:color="auto" w:sz="12" w:space="0"/>
              <w:right w:val="nil"/>
            </w:tcBorders>
            <w:shd w:val="clear"/>
            <w:vAlign w:val="bottom"/>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bl>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color w:val="FF0000"/>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三、工业和建筑业</w:t>
      </w:r>
    </w:p>
    <w:p>
      <w:pPr>
        <w:keepNext w:val="0"/>
        <w:keepLines w:val="0"/>
        <w:widowControl/>
        <w:suppressLineNumbers w:val="0"/>
        <w:spacing w:before="0" w:beforeAutospacing="0" w:after="0" w:afterAutospacing="0" w:line="0" w:lineRule="atLeast"/>
        <w:ind w:left="0" w:right="0" w:firstLine="482" w:firstLineChars="200"/>
        <w:jc w:val="center"/>
        <w:rPr>
          <w:rFonts w:hint="eastAsia" w:ascii="宋体" w:hAnsi="宋体" w:eastAsia="宋体" w:cs="宋体"/>
          <w:kern w:val="0"/>
          <w:sz w:val="24"/>
          <w:szCs w:val="24"/>
          <w:lang w:val="en-US"/>
        </w:rPr>
      </w:pPr>
      <w:r>
        <w:rPr>
          <w:rFonts w:hint="eastAsia" w:ascii="宋体" w:hAnsi="宋体" w:eastAsia="宋体" w:cs="宋体"/>
          <w:b/>
          <w:bCs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全年全部工业完成增加值3205.85亿元,比上年增长17.6%；规模以上工业</w:t>
      </w:r>
      <w:r>
        <w:rPr>
          <w:rFonts w:hint="eastAsia" w:ascii="宋体" w:hAnsi="宋体" w:eastAsia="宋体" w:cs="宋体"/>
          <w:kern w:val="0"/>
          <w:sz w:val="24"/>
          <w:szCs w:val="24"/>
          <w:vertAlign w:val="superscript"/>
          <w:lang w:val="en-US" w:eastAsia="zh-CN" w:bidi="ar"/>
        </w:rPr>
        <w:t>[5]</w:t>
      </w:r>
      <w:r>
        <w:rPr>
          <w:rFonts w:hint="eastAsia" w:ascii="宋体" w:hAnsi="宋体" w:eastAsia="宋体" w:cs="宋体"/>
          <w:kern w:val="0"/>
          <w:sz w:val="24"/>
          <w:szCs w:val="24"/>
          <w:lang w:val="en-US" w:eastAsia="zh-CN" w:bidi="ar"/>
        </w:rPr>
        <w:t>完成增加值2753.64亿元，增长18.0%。在规模以上工业中，轻工业完成增加值1245.65亿元，增长17.9%；重工业完成增加值1507.99亿元，增长18.0%。</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规模以上工业中，烟草制品业完成增加值938.05亿元，比上年增长17.5%；电力生产和供应业完成增加值290.53亿元，增长18.3%。6大高耗能行业共完成增加值1014.32亿元，比上年增长17.2%，其中，化学原料及化学制品制造业增长22.1%、非金属矿物制品业增长20.1%、电力热力的生产和供应业增长18.3%、黑色金属冶炼及压延加工业增长12.6%、有色金属冶炼及压延加工业增长16.7%、石油加工炼焦及核燃料加工业增长3.5%。</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原煤产量9957.41万吨，比上年增长2.0%；发电量1555.13亿千瓦小时，增长13.9%；粗钢产量1323.23万吨，增长2.3%；钢材产量1351.85万吨，增长11.3%；十种有色金属产量270.79万吨，增长12.7%；水泥产量6788.88万吨，增长17.3%；卷烟产量729.98万箱，增长2.1%；成品糖产量173.51万吨，下降3.5%。</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tbl>
      <w:tblPr>
        <w:tblW w:w="7960" w:type="dxa"/>
        <w:jc w:val="center"/>
        <w:tblInd w:w="188" w:type="dxa"/>
        <w:shd w:val="clear"/>
        <w:tblLayout w:type="fixed"/>
        <w:tblCellMar>
          <w:top w:w="0" w:type="dxa"/>
          <w:left w:w="0" w:type="dxa"/>
          <w:bottom w:w="0" w:type="dxa"/>
          <w:right w:w="0" w:type="dxa"/>
        </w:tblCellMar>
      </w:tblPr>
      <w:tblGrid>
        <w:gridCol w:w="2123"/>
        <w:gridCol w:w="1872"/>
        <w:gridCol w:w="1883"/>
        <w:gridCol w:w="2082"/>
      </w:tblGrid>
      <w:tr>
        <w:tblPrEx>
          <w:shd w:val="clear"/>
          <w:tblLayout w:type="fixed"/>
          <w:tblCellMar>
            <w:top w:w="0" w:type="dxa"/>
            <w:left w:w="0" w:type="dxa"/>
            <w:bottom w:w="0" w:type="dxa"/>
            <w:right w:w="0" w:type="dxa"/>
          </w:tblCellMar>
        </w:tblPrEx>
        <w:trPr>
          <w:trHeight w:val="433" w:hRule="atLeast"/>
          <w:jc w:val="center"/>
        </w:trPr>
        <w:tc>
          <w:tcPr>
            <w:tcW w:w="7960"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b/>
                <w:bCs w:val="0"/>
                <w:kern w:val="0"/>
                <w:sz w:val="24"/>
                <w:szCs w:val="24"/>
                <w:bdr w:val="none" w:color="auto" w:sz="0" w:space="0"/>
              </w:rPr>
              <w:t>表</w:t>
            </w:r>
            <w:r>
              <w:rPr>
                <w:rFonts w:hint="eastAsia" w:ascii="宋体" w:hAnsi="宋体" w:eastAsia="宋体" w:cs="宋体"/>
                <w:b/>
                <w:bCs w:val="0"/>
                <w:kern w:val="0"/>
                <w:sz w:val="24"/>
                <w:szCs w:val="24"/>
                <w:bdr w:val="none" w:color="auto" w:sz="0" w:space="0"/>
                <w:lang w:val="en-US"/>
              </w:rPr>
              <w:t>3  2011</w:t>
            </w:r>
            <w:r>
              <w:rPr>
                <w:rFonts w:hint="eastAsia" w:ascii="宋体" w:hAnsi="宋体" w:eastAsia="宋体" w:cs="宋体"/>
                <w:b/>
                <w:bCs w:val="0"/>
                <w:kern w:val="0"/>
                <w:sz w:val="24"/>
                <w:szCs w:val="24"/>
                <w:bdr w:val="none" w:color="auto" w:sz="0" w:space="0"/>
              </w:rPr>
              <w:t>年云南省主要工业产品产量及其增长速度</w:t>
            </w:r>
          </w:p>
        </w:tc>
      </w:tr>
      <w:tr>
        <w:tblPrEx>
          <w:tblLayout w:type="fixed"/>
          <w:tblCellMar>
            <w:top w:w="0" w:type="dxa"/>
            <w:left w:w="0" w:type="dxa"/>
            <w:bottom w:w="0" w:type="dxa"/>
            <w:right w:w="0" w:type="dxa"/>
          </w:tblCellMar>
        </w:tblPrEx>
        <w:trPr>
          <w:trHeight w:val="115" w:hRule="atLeast"/>
          <w:jc w:val="center"/>
        </w:trPr>
        <w:tc>
          <w:tcPr>
            <w:tcW w:w="2123" w:type="dxa"/>
            <w:tcBorders>
              <w:top w:val="nil"/>
              <w:left w:val="nil"/>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c>
          <w:tcPr>
            <w:tcW w:w="1872" w:type="dxa"/>
            <w:tcBorders>
              <w:top w:val="nil"/>
              <w:left w:val="nil"/>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c>
          <w:tcPr>
            <w:tcW w:w="1883" w:type="dxa"/>
            <w:tcBorders>
              <w:top w:val="nil"/>
              <w:left w:val="nil"/>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c>
          <w:tcPr>
            <w:tcW w:w="2082" w:type="dxa"/>
            <w:tcBorders>
              <w:top w:val="nil"/>
              <w:left w:val="nil"/>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p>
        </w:tc>
      </w:tr>
      <w:tr>
        <w:tblPrEx>
          <w:tblLayout w:type="fixed"/>
          <w:tblCellMar>
            <w:top w:w="0" w:type="dxa"/>
            <w:left w:w="0" w:type="dxa"/>
            <w:bottom w:w="0" w:type="dxa"/>
            <w:right w:w="0" w:type="dxa"/>
          </w:tblCellMar>
        </w:tblPrEx>
        <w:trPr>
          <w:trHeight w:val="569" w:hRule="atLeast"/>
          <w:jc w:val="center"/>
        </w:trPr>
        <w:tc>
          <w:tcPr>
            <w:tcW w:w="2123" w:type="dxa"/>
            <w:tcBorders>
              <w:top w:val="single" w:color="auto" w:sz="12"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产品名称</w:t>
            </w:r>
          </w:p>
        </w:tc>
        <w:tc>
          <w:tcPr>
            <w:tcW w:w="1872" w:type="dxa"/>
            <w:tcBorders>
              <w:top w:val="single" w:color="auto" w:sz="12"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单</w:t>
            </w:r>
            <w:r>
              <w:rPr>
                <w:rFonts w:hint="eastAsia" w:ascii="宋体" w:hAnsi="宋体" w:eastAsia="宋体" w:cs="宋体"/>
                <w:b/>
                <w:bCs w:val="0"/>
                <w:kern w:val="0"/>
                <w:sz w:val="24"/>
                <w:szCs w:val="24"/>
                <w:bdr w:val="none" w:color="auto" w:sz="0" w:space="0"/>
                <w:lang w:val="en-US"/>
              </w:rPr>
              <w:t xml:space="preserve">  </w:t>
            </w:r>
            <w:r>
              <w:rPr>
                <w:rFonts w:hint="eastAsia" w:ascii="宋体" w:hAnsi="宋体" w:eastAsia="宋体" w:cs="宋体"/>
                <w:b/>
                <w:bCs w:val="0"/>
                <w:kern w:val="0"/>
                <w:sz w:val="24"/>
                <w:szCs w:val="24"/>
                <w:bdr w:val="none" w:color="auto" w:sz="0" w:space="0"/>
              </w:rPr>
              <w:t>位</w:t>
            </w:r>
          </w:p>
        </w:tc>
        <w:tc>
          <w:tcPr>
            <w:tcW w:w="1883" w:type="dxa"/>
            <w:tcBorders>
              <w:top w:val="single" w:color="auto" w:sz="12"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产量</w:t>
            </w:r>
          </w:p>
        </w:tc>
        <w:tc>
          <w:tcPr>
            <w:tcW w:w="2082" w:type="dxa"/>
            <w:tcBorders>
              <w:top w:val="single" w:color="auto" w:sz="12" w:space="0"/>
              <w:left w:val="nil"/>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rPr>
              <w:t>比上年增长</w:t>
            </w:r>
            <w:r>
              <w:rPr>
                <w:rFonts w:hint="eastAsia" w:ascii="宋体" w:hAnsi="宋体" w:eastAsia="宋体" w:cs="宋体"/>
                <w:b/>
                <w:bCs w:val="0"/>
                <w:kern w:val="0"/>
                <w:sz w:val="24"/>
                <w:szCs w:val="24"/>
                <w:bdr w:val="none" w:color="auto" w:sz="0" w:space="0"/>
                <w:lang w:val="en-US"/>
              </w:rPr>
              <w:t>%</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原</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煤</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9957.41</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2.0</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发电量</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亿千瓦小时</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1555.13</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13.9</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其中：水电</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亿千瓦小时</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1007.41</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23.8</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火电</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亿千瓦小时</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536.06</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-1.9</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铁矿石原矿量</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2820.33</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14.4</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粗</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钢</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1323.23</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2.3</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钢</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材</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1351.85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11.3</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十种有色金属</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270.79</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12.7</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其中：铜</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39.08</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原铝</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88.32</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30.6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铅</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43.15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13.5</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锌</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89.67</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0.6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锡</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7.65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硫</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酸（折</w:t>
            </w:r>
            <w:r>
              <w:rPr>
                <w:rFonts w:hint="eastAsia" w:ascii="宋体" w:hAnsi="宋体" w:eastAsia="宋体" w:cs="宋体"/>
                <w:kern w:val="0"/>
                <w:sz w:val="24"/>
                <w:szCs w:val="24"/>
                <w:bdr w:val="none" w:color="auto" w:sz="0" w:space="0"/>
                <w:lang w:val="en-US"/>
              </w:rPr>
              <w:t>100%</w:t>
            </w:r>
            <w:r>
              <w:rPr>
                <w:rFonts w:hint="eastAsia" w:ascii="宋体" w:hAnsi="宋体" w:eastAsia="宋体" w:cs="宋体"/>
                <w:kern w:val="0"/>
                <w:sz w:val="24"/>
                <w:szCs w:val="24"/>
                <w:bdr w:val="none" w:color="auto" w:sz="0" w:space="0"/>
              </w:rPr>
              <w:t>）</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1199.45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12.3</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烧</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碱（折</w:t>
            </w:r>
            <w:r>
              <w:rPr>
                <w:rFonts w:hint="eastAsia" w:ascii="宋体" w:hAnsi="宋体" w:eastAsia="宋体" w:cs="宋体"/>
                <w:kern w:val="0"/>
                <w:sz w:val="24"/>
                <w:szCs w:val="24"/>
                <w:bdr w:val="none" w:color="auto" w:sz="0" w:space="0"/>
                <w:lang w:val="en-US"/>
              </w:rPr>
              <w:t>100%</w:t>
            </w:r>
            <w:r>
              <w:rPr>
                <w:rFonts w:hint="eastAsia" w:ascii="宋体" w:hAnsi="宋体" w:eastAsia="宋体" w:cs="宋体"/>
                <w:kern w:val="0"/>
                <w:sz w:val="24"/>
                <w:szCs w:val="24"/>
                <w:bdr w:val="none" w:color="auto" w:sz="0" w:space="0"/>
              </w:rPr>
              <w:t>）</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19.90</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化</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肥（折</w:t>
            </w:r>
            <w:r>
              <w:rPr>
                <w:rFonts w:hint="eastAsia" w:ascii="宋体" w:hAnsi="宋体" w:eastAsia="宋体" w:cs="宋体"/>
                <w:kern w:val="0"/>
                <w:sz w:val="24"/>
                <w:szCs w:val="24"/>
                <w:bdr w:val="none" w:color="auto" w:sz="0" w:space="0"/>
                <w:lang w:val="en-US"/>
              </w:rPr>
              <w:t>100%</w:t>
            </w:r>
            <w:r>
              <w:rPr>
                <w:rFonts w:hint="eastAsia" w:ascii="宋体" w:hAnsi="宋体" w:eastAsia="宋体" w:cs="宋体"/>
                <w:kern w:val="0"/>
                <w:sz w:val="24"/>
                <w:szCs w:val="24"/>
                <w:bdr w:val="none" w:color="auto" w:sz="0" w:space="0"/>
              </w:rPr>
              <w:t>）</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326.93</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-10.2</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卷</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烟</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万箱</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729.98</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2.1</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成品糖</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173.51</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-3.5</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精制茶叶</w:t>
            </w:r>
            <w:r>
              <w:rPr>
                <w:rFonts w:hint="eastAsia" w:ascii="宋体" w:hAnsi="宋体" w:eastAsia="宋体" w:cs="宋体"/>
                <w:kern w:val="0"/>
                <w:sz w:val="24"/>
                <w:szCs w:val="24"/>
                <w:bdr w:val="none" w:color="auto" w:sz="0" w:space="0"/>
                <w:lang w:val="en-US"/>
              </w:rPr>
              <w:t xml:space="preserve"> </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13.95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13.6</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中成药</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firstLine="480" w:firstLineChars="20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25903.58</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24.3</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自来水生产量</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万立方米</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firstLine="480" w:firstLineChars="20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71478.17</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2.9</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机制纸及纸板</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49.12</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9.5</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泥</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万吨</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6788.88</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17.3</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平板玻璃</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万重量箱</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850.03</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15.5</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人造板</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万立方米</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152.95</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1.8</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发电设备</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万千瓦</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62.89</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-12.0</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变压器</w:t>
            </w:r>
          </w:p>
        </w:tc>
        <w:tc>
          <w:tcPr>
            <w:tcW w:w="1872" w:type="dxa"/>
            <w:tcBorders>
              <w:top w:val="nil"/>
              <w:left w:val="single" w:color="auto" w:sz="4" w:space="0"/>
              <w:bottom w:val="nil"/>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万千伏安</w:t>
            </w:r>
          </w:p>
        </w:tc>
        <w:tc>
          <w:tcPr>
            <w:tcW w:w="1883" w:type="dxa"/>
            <w:tcBorders>
              <w:top w:val="nil"/>
              <w:left w:val="single" w:color="auto" w:sz="4" w:space="0"/>
              <w:bottom w:val="nil"/>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1603.49</w:t>
            </w:r>
          </w:p>
        </w:tc>
        <w:tc>
          <w:tcPr>
            <w:tcW w:w="2082" w:type="dxa"/>
            <w:tcBorders>
              <w:top w:val="nil"/>
              <w:left w:val="nil"/>
              <w:bottom w:val="nil"/>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-10.7</w:t>
            </w:r>
          </w:p>
        </w:tc>
      </w:tr>
      <w:tr>
        <w:tblPrEx>
          <w:tblLayout w:type="fixed"/>
          <w:tblCellMar>
            <w:top w:w="0" w:type="dxa"/>
            <w:left w:w="0" w:type="dxa"/>
            <w:bottom w:w="0" w:type="dxa"/>
            <w:right w:w="0" w:type="dxa"/>
          </w:tblCellMar>
        </w:tblPrEx>
        <w:trPr>
          <w:trHeight w:val="319" w:hRule="atLeast"/>
          <w:jc w:val="center"/>
        </w:trPr>
        <w:tc>
          <w:tcPr>
            <w:tcW w:w="2123" w:type="dxa"/>
            <w:tcBorders>
              <w:top w:val="nil"/>
              <w:left w:val="nil"/>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汽</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车</w:t>
            </w:r>
          </w:p>
        </w:tc>
        <w:tc>
          <w:tcPr>
            <w:tcW w:w="1872" w:type="dxa"/>
            <w:tcBorders>
              <w:top w:val="nil"/>
              <w:left w:val="single" w:color="auto" w:sz="4" w:space="0"/>
              <w:bottom w:val="single" w:color="auto" w:sz="12" w:space="0"/>
              <w:right w:val="nil"/>
            </w:tcBorders>
            <w:shd w:val="clear"/>
            <w:tcMar>
              <w:top w:w="15" w:type="dxa"/>
              <w:left w:w="15" w:type="dxa"/>
              <w:right w:w="15" w:type="dxa"/>
            </w:tcMar>
            <w:vAlign w:val="bottom"/>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辆</w:t>
            </w:r>
          </w:p>
        </w:tc>
        <w:tc>
          <w:tcPr>
            <w:tcW w:w="1883" w:type="dxa"/>
            <w:tcBorders>
              <w:top w:val="nil"/>
              <w:left w:val="single" w:color="auto" w:sz="4" w:space="0"/>
              <w:bottom w:val="single" w:color="auto" w:sz="12" w:space="0"/>
              <w:right w:val="single" w:color="auto" w:sz="4" w:space="0"/>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97174</w:t>
            </w:r>
          </w:p>
        </w:tc>
        <w:tc>
          <w:tcPr>
            <w:tcW w:w="2082" w:type="dxa"/>
            <w:tcBorders>
              <w:top w:val="nil"/>
              <w:left w:val="nil"/>
              <w:bottom w:val="single" w:color="auto" w:sz="12" w:space="0"/>
              <w:right w:val="nil"/>
            </w:tcBorders>
            <w:shd w:val="clear"/>
            <w:tcMar>
              <w:top w:w="15" w:type="dxa"/>
              <w:left w:w="15" w:type="dxa"/>
              <w:right w:w="340"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-4.6</w:t>
            </w:r>
          </w:p>
        </w:tc>
      </w:tr>
    </w:tbl>
    <w:p>
      <w:pPr>
        <w:keepNext w:val="0"/>
        <w:keepLines w:val="0"/>
        <w:widowControl/>
        <w:suppressLineNumbers w:val="0"/>
        <w:spacing w:before="0" w:beforeAutospacing="0" w:after="0" w:afterAutospacing="0" w:line="0" w:lineRule="atLeast"/>
        <w:ind w:left="0" w:right="0" w:firstLine="480" w:firstLineChars="20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全年规模以上工业企业累计实现利税1525.03亿元，比上年增长22.3%；其中实现利润523.55亿元，增长24.5%。</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全年全社会建筑业完成增加值785.12亿元，比上年增长19.6%。全省具有资质等级的总承包和专业承包建筑业企业完成总产值1867.06亿元，比上年增长23.7%；实现利润65亿元，增长28.6%；上缴税金81.42亿元，增长27.1%。</w:t>
      </w:r>
    </w:p>
    <w:p>
      <w:pPr>
        <w:keepNext w:val="0"/>
        <w:keepLines w:val="0"/>
        <w:widowControl/>
        <w:suppressLineNumbers w:val="0"/>
        <w:spacing w:before="0" w:beforeAutospacing="0" w:after="0" w:afterAutospacing="0" w:line="360" w:lineRule="auto"/>
        <w:ind w:left="0" w:right="0" w:firstLine="2250" w:firstLineChars="934"/>
        <w:jc w:val="left"/>
        <w:rPr>
          <w:rFonts w:hint="eastAsia" w:ascii="宋体" w:hAnsi="宋体" w:eastAsia="宋体" w:cs="宋体"/>
          <w:b/>
          <w:bCs w:val="0"/>
          <w:kern w:val="0"/>
          <w:sz w:val="24"/>
          <w:szCs w:val="24"/>
          <w:lang w:val="en-US"/>
        </w:rPr>
      </w:pP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四、固定资产投资和房地产业</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2011年全社会固定资产投资规模达到7109.70亿元，比上年增长27.4%。分三次产业看，第一产业投资282.16亿元，增长24.9%；第二产业投资2222.24亿元，增长25.3%，其中工业投资2213.52亿元，增长25.3%；第三产业投资4605.3亿元，增长30.5%。规模以上固定资产投资（不含农户）</w:t>
      </w:r>
      <w:r>
        <w:rPr>
          <w:rFonts w:hint="eastAsia" w:ascii="宋体" w:hAnsi="宋体" w:eastAsia="宋体" w:cs="宋体"/>
          <w:kern w:val="0"/>
          <w:sz w:val="24"/>
          <w:szCs w:val="24"/>
          <w:vertAlign w:val="superscript"/>
          <w:lang w:val="en-US" w:eastAsia="zh-CN" w:bidi="ar"/>
        </w:rPr>
        <w:t>[6]</w:t>
      </w:r>
      <w:r>
        <w:rPr>
          <w:rFonts w:hint="eastAsia" w:ascii="宋体" w:hAnsi="宋体" w:eastAsia="宋体" w:cs="宋体"/>
          <w:kern w:val="0"/>
          <w:sz w:val="24"/>
          <w:szCs w:val="24"/>
          <w:lang w:val="en-US" w:eastAsia="zh-CN" w:bidi="ar"/>
        </w:rPr>
        <w:t>5927.01亿元，增长27.6%。</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表4  2011年云南省分行业规模以上固定资产投资及其增长速度</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单位：亿元</w:t>
      </w:r>
    </w:p>
    <w:tbl>
      <w:tblPr>
        <w:tblW w:w="7731" w:type="dxa"/>
        <w:jc w:val="center"/>
        <w:tblInd w:w="396" w:type="dxa"/>
        <w:shd w:val="clear"/>
        <w:tblLayout w:type="fixed"/>
        <w:tblCellMar>
          <w:top w:w="0" w:type="dxa"/>
          <w:left w:w="108" w:type="dxa"/>
          <w:bottom w:w="0" w:type="dxa"/>
          <w:right w:w="108" w:type="dxa"/>
        </w:tblCellMar>
      </w:tblPr>
      <w:tblGrid>
        <w:gridCol w:w="4060"/>
        <w:gridCol w:w="1759"/>
        <w:gridCol w:w="1912"/>
      </w:tblGrid>
      <w:tr>
        <w:tblPrEx>
          <w:shd w:val="clear"/>
          <w:tblLayout w:type="fixed"/>
          <w:tblCellMar>
            <w:top w:w="0" w:type="dxa"/>
            <w:left w:w="108" w:type="dxa"/>
            <w:bottom w:w="0" w:type="dxa"/>
            <w:right w:w="108" w:type="dxa"/>
          </w:tblCellMar>
        </w:tblPrEx>
        <w:trPr>
          <w:trHeight w:val="601" w:hRule="atLeast"/>
          <w:jc w:val="center"/>
        </w:trPr>
        <w:tc>
          <w:tcPr>
            <w:tcW w:w="4060" w:type="dxa"/>
            <w:tcBorders>
              <w:top w:val="single" w:color="auto" w:sz="4" w:space="0"/>
              <w:left w:val="nil"/>
              <w:bottom w:val="single" w:color="auto" w:sz="4" w:space="0"/>
              <w:right w:val="nil"/>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kern w:val="0"/>
                <w:sz w:val="24"/>
                <w:szCs w:val="24"/>
                <w:bdr w:val="none" w:color="auto" w:sz="0" w:space="0"/>
              </w:rPr>
              <w:t>行</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业</w:t>
            </w:r>
          </w:p>
        </w:tc>
        <w:tc>
          <w:tcPr>
            <w:tcW w:w="17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kern w:val="0"/>
                <w:sz w:val="24"/>
                <w:szCs w:val="24"/>
                <w:bdr w:val="none" w:color="auto" w:sz="0" w:space="0"/>
              </w:rPr>
              <w:t>投资额</w:t>
            </w:r>
          </w:p>
        </w:tc>
        <w:tc>
          <w:tcPr>
            <w:tcW w:w="1912" w:type="dxa"/>
            <w:tcBorders>
              <w:top w:val="single" w:color="auto" w:sz="4" w:space="0"/>
              <w:left w:val="nil"/>
              <w:bottom w:val="single" w:color="auto" w:sz="4" w:space="0"/>
              <w:right w:val="nil"/>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kern w:val="0"/>
                <w:sz w:val="24"/>
                <w:szCs w:val="24"/>
                <w:bdr w:val="none" w:color="auto" w:sz="0" w:space="0"/>
              </w:rPr>
              <w:t>比上年增长</w:t>
            </w:r>
            <w:r>
              <w:rPr>
                <w:rFonts w:hint="eastAsia" w:ascii="宋体" w:hAnsi="宋体" w:eastAsia="宋体" w:cs="宋体"/>
                <w:b/>
                <w:kern w:val="0"/>
                <w:sz w:val="24"/>
                <w:szCs w:val="24"/>
                <w:bdr w:val="none" w:color="auto" w:sz="0" w:space="0"/>
                <w:lang w:val="en-US"/>
              </w:rPr>
              <w:t>%</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总</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计</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5927.01</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27.6</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农、林、牧、渔业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153.15</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9.3</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采矿业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262.42</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22.9</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制造业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895.51</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39.1</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其中：烟草制品业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36.43</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50.2</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化学原料及化学制品制造业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80.34</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19.9</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医药制造业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25.19</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55.0</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非金属矿物制品业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130.41</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34.5</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黑色金属冶炼及压延加工业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85.68</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66.9</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有色金属冶炼及压延加工业</w:t>
            </w:r>
            <w:r>
              <w:rPr>
                <w:rFonts w:hint="eastAsia" w:ascii="宋体" w:hAnsi="宋体" w:eastAsia="宋体" w:cs="宋体"/>
                <w:sz w:val="24"/>
                <w:szCs w:val="24"/>
                <w:bdr w:val="none" w:color="auto" w:sz="0" w:space="0"/>
                <w:lang w:val="en-US"/>
              </w:rPr>
              <w:t xml:space="preserve"> </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115.86</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17.1</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电力、煤气及水的生产和供应业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792.61</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23.3</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建筑业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6.13</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6.3</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交通运输、仓储和邮政业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842.80</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1.5</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信息传输、计算机服务和软件业</w:t>
            </w:r>
          </w:p>
        </w:tc>
        <w:tc>
          <w:tcPr>
            <w:tcW w:w="1759" w:type="dxa"/>
            <w:tcBorders>
              <w:top w:val="nil"/>
              <w:left w:val="single" w:color="auto" w:sz="4" w:space="0"/>
              <w:bottom w:val="nil"/>
              <w:right w:val="single" w:color="auto" w:sz="4" w:space="0"/>
            </w:tcBorders>
            <w:shd w:val="clear"/>
            <w:tcMar>
              <w:right w:w="284" w:type="dxa"/>
            </w:tcMar>
            <w:vAlign w:val="center"/>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48.64</w:t>
            </w:r>
          </w:p>
        </w:tc>
        <w:tc>
          <w:tcPr>
            <w:tcW w:w="1912" w:type="dxa"/>
            <w:tcBorders>
              <w:top w:val="nil"/>
              <w:left w:val="nil"/>
              <w:bottom w:val="nil"/>
              <w:right w:val="nil"/>
            </w:tcBorders>
            <w:shd w:val="clear"/>
            <w:tcMar>
              <w:right w:w="284" w:type="dxa"/>
            </w:tcMar>
            <w:vAlign w:val="bottom"/>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10.4</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批发和零售业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253.87</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17.7</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住宿和餐饮业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97.55</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79.0</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金融业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4.10</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-2.0</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房地产开发</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1272.72</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41.3</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租赁和商务服务业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21.49</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74.4</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科学研究、技术服务和地质勘查业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33.28</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w:t>
            </w:r>
            <w:r>
              <w:rPr>
                <w:rFonts w:hint="eastAsia" w:ascii="宋体" w:hAnsi="宋体" w:eastAsia="宋体" w:cs="宋体"/>
                <w:kern w:val="0"/>
                <w:sz w:val="24"/>
                <w:szCs w:val="24"/>
                <w:bdr w:val="none" w:color="auto" w:sz="0" w:space="0"/>
              </w:rPr>
              <w:t>倍</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水利、环境和公共设施管理业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597.18</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11.2</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居民服务和其他服务业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14.46</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4.5</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教育</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126.05</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-18.1</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卫生、社会保障和社会福利业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81.54</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21.5</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nil"/>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文化、体育和娱乐业</w:t>
            </w:r>
          </w:p>
        </w:tc>
        <w:tc>
          <w:tcPr>
            <w:tcW w:w="1759" w:type="dxa"/>
            <w:tcBorders>
              <w:top w:val="nil"/>
              <w:left w:val="single" w:color="auto" w:sz="4" w:space="0"/>
              <w:bottom w:val="nil"/>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98.63</w:t>
            </w:r>
          </w:p>
        </w:tc>
        <w:tc>
          <w:tcPr>
            <w:tcW w:w="1912" w:type="dxa"/>
            <w:tcBorders>
              <w:top w:val="nil"/>
              <w:left w:val="nil"/>
              <w:bottom w:val="nil"/>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128.3</w:t>
            </w:r>
          </w:p>
        </w:tc>
      </w:tr>
      <w:tr>
        <w:tblPrEx>
          <w:tblLayout w:type="fixed"/>
          <w:tblCellMar>
            <w:top w:w="0" w:type="dxa"/>
            <w:left w:w="108" w:type="dxa"/>
            <w:bottom w:w="0" w:type="dxa"/>
            <w:right w:w="108" w:type="dxa"/>
          </w:tblCellMar>
        </w:tblPrEx>
        <w:trPr>
          <w:trHeight w:val="300" w:hRule="atLeast"/>
          <w:jc w:val="center"/>
        </w:trPr>
        <w:tc>
          <w:tcPr>
            <w:tcW w:w="4060" w:type="dxa"/>
            <w:tcBorders>
              <w:top w:val="nil"/>
              <w:left w:val="nil"/>
              <w:bottom w:val="single" w:color="auto" w:sz="12" w:space="0"/>
              <w:right w:val="nil"/>
            </w:tcBorders>
            <w:shd w:val="clear"/>
            <w:vAlign w:val="bottom"/>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公共管理和社会组织</w:t>
            </w:r>
          </w:p>
        </w:tc>
        <w:tc>
          <w:tcPr>
            <w:tcW w:w="1759" w:type="dxa"/>
            <w:tcBorders>
              <w:top w:val="nil"/>
              <w:left w:val="single" w:color="auto" w:sz="4" w:space="0"/>
              <w:bottom w:val="single" w:color="auto" w:sz="12" w:space="0"/>
              <w:right w:val="single" w:color="auto" w:sz="4" w:space="0"/>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115.49</w:t>
            </w:r>
          </w:p>
        </w:tc>
        <w:tc>
          <w:tcPr>
            <w:tcW w:w="1912" w:type="dxa"/>
            <w:tcBorders>
              <w:top w:val="nil"/>
              <w:left w:val="nil"/>
              <w:bottom w:val="single" w:color="auto" w:sz="12" w:space="0"/>
              <w:right w:val="nil"/>
            </w:tcBorders>
            <w:shd w:val="clear"/>
            <w:tcMar>
              <w:right w:w="284" w:type="dxa"/>
            </w:tcMar>
            <w:vAlign w:val="top"/>
          </w:tcPr>
          <w:p>
            <w:pPr>
              <w:keepNext w:val="0"/>
              <w:keepLines w:val="0"/>
              <w:widowControl/>
              <w:suppressLineNumbers w:val="0"/>
              <w:wordWrap w:val="0"/>
              <w:spacing w:before="0" w:beforeAutospacing="0" w:after="0" w:afterAutospacing="0" w:line="0" w:lineRule="atLeast"/>
              <w:ind w:left="0" w:right="0" w:firstLine="600" w:firstLineChars="25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28.3</w:t>
            </w:r>
          </w:p>
        </w:tc>
      </w:tr>
    </w:tbl>
    <w:p>
      <w:pPr>
        <w:keepNext w:val="0"/>
        <w:keepLines w:val="0"/>
        <w:widowControl/>
        <w:suppressLineNumbers w:val="0"/>
        <w:spacing w:before="0" w:beforeAutospacing="0" w:after="0" w:afterAutospacing="0" w:line="0" w:lineRule="atLeast"/>
        <w:ind w:left="0" w:right="0" w:firstLine="480" w:firstLineChars="20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房地产开发投资完成1272.72亿元，比上年增长41.3%，其中，商品住宅投资873.9亿元，增长33.5%；办公楼投资44.25亿元，增长99.2%；商业营业用房投资164.34亿元，增长67.9%。全省商品房屋施工面积10597.88万平方米，增长20.6%；商品房屋竣工面积1450.76万平方米，下降5.5%；商品房销售面积3107.12万平方米，增长5.0%，商品房销售额1133.61亿元，增长21.3%。 </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表5  2011年云南省房地产开发和销售主要指标完成情况</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p>
    <w:tbl>
      <w:tblPr>
        <w:tblW w:w="8079" w:type="dxa"/>
        <w:jc w:val="center"/>
        <w:tblInd w:w="222" w:type="dxa"/>
        <w:shd w:val="clear"/>
        <w:tblLayout w:type="fixed"/>
        <w:tblCellMar>
          <w:top w:w="0" w:type="dxa"/>
          <w:left w:w="108" w:type="dxa"/>
          <w:bottom w:w="0" w:type="dxa"/>
          <w:right w:w="108" w:type="dxa"/>
        </w:tblCellMar>
      </w:tblPr>
      <w:tblGrid>
        <w:gridCol w:w="3329"/>
        <w:gridCol w:w="1080"/>
        <w:gridCol w:w="1235"/>
        <w:gridCol w:w="476"/>
        <w:gridCol w:w="1227"/>
        <w:gridCol w:w="732"/>
      </w:tblGrid>
      <w:tr>
        <w:tblPrEx>
          <w:shd w:val="clear"/>
          <w:tblLayout w:type="fixed"/>
          <w:tblCellMar>
            <w:top w:w="0" w:type="dxa"/>
            <w:left w:w="108" w:type="dxa"/>
            <w:bottom w:w="0" w:type="dxa"/>
            <w:right w:w="108" w:type="dxa"/>
          </w:tblCellMar>
        </w:tblPrEx>
        <w:trPr>
          <w:trHeight w:val="340" w:hRule="atLeast"/>
          <w:jc w:val="center"/>
        </w:trPr>
        <w:tc>
          <w:tcPr>
            <w:tcW w:w="332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指</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标</w:t>
            </w:r>
          </w:p>
        </w:tc>
        <w:tc>
          <w:tcPr>
            <w:tcW w:w="1080"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单 位</w:t>
            </w:r>
          </w:p>
        </w:tc>
        <w:tc>
          <w:tcPr>
            <w:tcW w:w="1711" w:type="dxa"/>
            <w:gridSpan w:val="2"/>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绝对数</w:t>
            </w:r>
          </w:p>
        </w:tc>
        <w:tc>
          <w:tcPr>
            <w:tcW w:w="1959" w:type="dxa"/>
            <w:gridSpan w:val="2"/>
            <w:tcBorders>
              <w:top w:val="single" w:color="auto" w:sz="8" w:space="0"/>
              <w:left w:val="nil"/>
              <w:bottom w:val="single" w:color="auto" w:sz="8" w:space="0"/>
              <w:right w:val="nil"/>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比上年增长</w:t>
            </w:r>
            <w:r>
              <w:rPr>
                <w:rFonts w:hint="eastAsia" w:ascii="宋体" w:hAnsi="宋体" w:eastAsia="宋体" w:cs="宋体"/>
                <w:b/>
                <w:kern w:val="0"/>
                <w:sz w:val="24"/>
                <w:szCs w:val="24"/>
                <w:bdr w:val="none" w:color="auto" w:sz="0" w:space="0"/>
                <w:lang w:val="en-US"/>
              </w:rPr>
              <w:t>%</w:t>
            </w: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投资完成额</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1272.72</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41.3</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873.90</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33.5</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w:t>
            </w:r>
            <w:r>
              <w:rPr>
                <w:rFonts w:hint="eastAsia" w:ascii="宋体" w:hAnsi="宋体" w:eastAsia="宋体" w:cs="宋体"/>
                <w:kern w:val="0"/>
                <w:sz w:val="24"/>
                <w:szCs w:val="24"/>
                <w:bdr w:val="none" w:color="auto" w:sz="0" w:space="0"/>
                <w:lang w:val="en-US"/>
              </w:rPr>
              <w:t>90</w:t>
            </w:r>
            <w:r>
              <w:rPr>
                <w:rFonts w:hint="eastAsia" w:ascii="宋体" w:hAnsi="宋体" w:eastAsia="宋体" w:cs="宋体"/>
                <w:kern w:val="0"/>
                <w:sz w:val="24"/>
                <w:szCs w:val="24"/>
                <w:bdr w:val="none" w:color="auto" w:sz="0" w:space="0"/>
              </w:rPr>
              <w:t>平方米以下住宅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175.38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38.0</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其中：经济适用房</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14.58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16.9</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房屋施工面积</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10597.88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20.6</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7973.23</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13.2</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房屋新开工面积</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4984.70</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34.6</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3618.18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22.2</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房屋竣工面积</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1450.76</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-5.5</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1182.14</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-6.1</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商品房销售面积</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3107.12</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5.0</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其中：住宅</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2716.42</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2.2</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本年资金来源</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1648.09</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26.7</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其中：国内贷款</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129.50</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-19.5</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其中：个人按揭贷款</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nil"/>
              <w:right w:val="nil"/>
            </w:tcBorders>
            <w:shd w:val="clear"/>
            <w:vAlign w:val="top"/>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202.98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-2.9</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本年购置土地面积</w:t>
            </w:r>
          </w:p>
        </w:tc>
        <w:tc>
          <w:tcPr>
            <w:tcW w:w="1080" w:type="dxa"/>
            <w:tcBorders>
              <w:top w:val="nil"/>
              <w:left w:val="nil"/>
              <w:bottom w:val="nil"/>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万平方米</w:t>
            </w:r>
          </w:p>
        </w:tc>
        <w:tc>
          <w:tcPr>
            <w:tcW w:w="123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1425.38</w:t>
            </w:r>
          </w:p>
        </w:tc>
        <w:tc>
          <w:tcPr>
            <w:tcW w:w="476"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nil"/>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38.2</w:t>
            </w:r>
          </w:p>
        </w:tc>
        <w:tc>
          <w:tcPr>
            <w:tcW w:w="7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340" w:hRule="atLeast"/>
          <w:jc w:val="center"/>
        </w:trPr>
        <w:tc>
          <w:tcPr>
            <w:tcW w:w="3329" w:type="dxa"/>
            <w:tcBorders>
              <w:top w:val="nil"/>
              <w:left w:val="nil"/>
              <w:bottom w:val="single" w:color="auto" w:sz="8" w:space="0"/>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土地购置费</w:t>
            </w:r>
          </w:p>
        </w:tc>
        <w:tc>
          <w:tcPr>
            <w:tcW w:w="1080" w:type="dxa"/>
            <w:tcBorders>
              <w:top w:val="nil"/>
              <w:left w:val="nil"/>
              <w:bottom w:val="single" w:color="auto" w:sz="8" w:space="0"/>
              <w:right w:val="single" w:color="auto" w:sz="8" w:space="0"/>
            </w:tcBorders>
            <w:shd w:val="clear"/>
            <w:vAlign w:val="top"/>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亿元</w:t>
            </w:r>
          </w:p>
        </w:tc>
        <w:tc>
          <w:tcPr>
            <w:tcW w:w="1235" w:type="dxa"/>
            <w:tcBorders>
              <w:top w:val="nil"/>
              <w:left w:val="nil"/>
              <w:bottom w:val="single" w:color="auto" w:sz="8" w:space="0"/>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129.87</w:t>
            </w:r>
          </w:p>
        </w:tc>
        <w:tc>
          <w:tcPr>
            <w:tcW w:w="47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　</w:t>
            </w:r>
          </w:p>
        </w:tc>
        <w:tc>
          <w:tcPr>
            <w:tcW w:w="1227" w:type="dxa"/>
            <w:tcBorders>
              <w:top w:val="nil"/>
              <w:left w:val="nil"/>
              <w:bottom w:val="single" w:color="auto" w:sz="8" w:space="0"/>
              <w:right w:val="nil"/>
            </w:tcBorders>
            <w:shd w:val="clear"/>
            <w:vAlign w:val="top"/>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7.1</w:t>
            </w:r>
          </w:p>
        </w:tc>
        <w:tc>
          <w:tcPr>
            <w:tcW w:w="732" w:type="dxa"/>
            <w:tcBorders>
              <w:top w:val="nil"/>
              <w:left w:val="nil"/>
              <w:bottom w:val="single" w:color="auto" w:sz="8" w:space="0"/>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bl>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省重点项目建设强力推进。大丽、保腾等高速公路建设稳步推进，59条二级公路基本建成，昆明市轨道交通工程加快实施；新建改建农村公路1.6万公里，新开工建设41项骨干水源工程，新建成35座中小型水库、45万件“五小水利”工程，牛栏江—滇池补水工程进度加快；金安桥、功果桥电站和镇雄电厂投产发电，六大煤炭基地、中缅油气管道及石油炼化基地建设进展顺利。</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24"/>
          <w:szCs w:val="24"/>
          <w:lang w:val="en-US"/>
        </w:rPr>
      </w:pPr>
      <w:r>
        <w:rPr>
          <w:rFonts w:hint="eastAsia" w:ascii="宋体" w:hAnsi="宋体" w:eastAsia="宋体" w:cs="宋体"/>
          <w:kern w:val="0"/>
          <w:sz w:val="24"/>
          <w:szCs w:val="24"/>
          <w:lang w:val="en-US" w:eastAsia="zh-CN" w:bidi="ar"/>
        </w:rPr>
        <w:t>五、国内贸易和对外经济</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全年实现社会消费品零售总额3000.14亿元, 比上年增长20.0%。按经营地统计，城镇消费品零售额2407.21亿元,增长20.8%；乡村消费品零售额592.93亿元，增长16.9%。按消费形态统计，批发业零售额241.74亿元，增长35.9%；零售业零售额2140.42亿元，增长16.2%；住宿业零售额32.67亿元，增长26.3%；餐饮业零售额404.55亿元，增长18.7%；其他行业零售额180.76亿元，增长58.9%。</w:t>
      </w:r>
    </w:p>
    <w:p>
      <w:pPr>
        <w:keepNext w:val="0"/>
        <w:keepLines w:val="0"/>
        <w:widowControl/>
        <w:suppressLineNumbers w:val="0"/>
        <w:spacing w:before="0" w:beforeAutospacing="0" w:after="0" w:afterAutospacing="0" w:line="0" w:lineRule="atLeast"/>
        <w:ind w:left="0" w:right="0" w:firstLine="600" w:firstLineChars="25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在限额以上批发和零售业</w:t>
      </w:r>
      <w:r>
        <w:rPr>
          <w:rFonts w:hint="eastAsia" w:ascii="宋体" w:hAnsi="宋体" w:eastAsia="宋体" w:cs="宋体"/>
          <w:kern w:val="0"/>
          <w:sz w:val="24"/>
          <w:szCs w:val="24"/>
          <w:vertAlign w:val="superscript"/>
          <w:lang w:val="en-US" w:eastAsia="zh-CN" w:bidi="ar"/>
        </w:rPr>
        <w:t>[7]</w:t>
      </w:r>
      <w:r>
        <w:rPr>
          <w:rFonts w:hint="eastAsia" w:ascii="宋体" w:hAnsi="宋体" w:eastAsia="宋体" w:cs="宋体"/>
          <w:kern w:val="0"/>
          <w:sz w:val="24"/>
          <w:szCs w:val="24"/>
          <w:lang w:val="en-US" w:eastAsia="zh-CN" w:bidi="ar"/>
        </w:rPr>
        <w:t>零售额中，粮油类零售额比上年增长36.5%，汽车类增长12.7%，石油及制品类增长54.2%，机电产品及设备类增长55.4%，日用品类增长30.4%，文化办公用品类增长27.5%，化妆品类增长16.6%，金银珠宝类增长49.4%，家具类增长32.5%，建筑及装潢材料类增长61.3%，家用电器和音像器材类增长16.7%。</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外贸进出口总额完成160.53亿美元，比上年增长19.6%。其中出口完成94.73亿美元，增长24.6%，进口完成65.8亿美元，增长13.2%。全年对欧盟进出口17.91亿美元，增长22.7%；对东盟进出口59.5亿美元，增长30.2%；对南亚进出口10.82亿美元，增长16.2%。</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全省机电产品出口20.28亿美元，增长17.6%；农产品出口17.57亿美元，增长34.9%；磷化工产品出口14.94亿美元，增长30.2%；纺织品及服装出口7.18亿美元，增长2.5%。在进口商品中，金属原材料进口26.52亿美元，增长3.7%；农产品进口10.82亿美元，增长24.8%；机电产品进口7.99亿美元，下降5.4%；非金属原材料进口3.91亿美元，增长57.7%。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全年共批准利用外资项目163个，与上年持平，合同利用外资21.54亿美元，增长41.9%，实际使用外商直接投资17.38亿美元，增长30.7%。</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六、交通、邮电和旅游</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全年交通运输、仓储和邮政业增加值为217.19亿元，比上年增长7.4%。 </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表6  2011年云南省各种运输方式完成货物运输量及其增长速度</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p>
    <w:tbl>
      <w:tblPr>
        <w:tblW w:w="8385" w:type="dxa"/>
        <w:jc w:val="center"/>
        <w:tblInd w:w="-24" w:type="dxa"/>
        <w:shd w:val="clear"/>
        <w:tblLayout w:type="fixed"/>
        <w:tblCellMar>
          <w:top w:w="0" w:type="dxa"/>
          <w:left w:w="0" w:type="dxa"/>
          <w:bottom w:w="0" w:type="dxa"/>
          <w:right w:w="0" w:type="dxa"/>
        </w:tblCellMar>
      </w:tblPr>
      <w:tblGrid>
        <w:gridCol w:w="2651"/>
        <w:gridCol w:w="1567"/>
        <w:gridCol w:w="1255"/>
        <w:gridCol w:w="672"/>
        <w:gridCol w:w="1486"/>
        <w:gridCol w:w="540"/>
        <w:gridCol w:w="214"/>
      </w:tblGrid>
      <w:tr>
        <w:tblPrEx>
          <w:shd w:val="clear"/>
          <w:tblLayout w:type="fixed"/>
          <w:tblCellMar>
            <w:top w:w="0" w:type="dxa"/>
            <w:left w:w="0" w:type="dxa"/>
            <w:bottom w:w="0" w:type="dxa"/>
            <w:right w:w="0" w:type="dxa"/>
          </w:tblCellMar>
        </w:tblPrEx>
        <w:trPr>
          <w:trHeight w:val="340" w:hRule="atLeast"/>
          <w:jc w:val="center"/>
        </w:trPr>
        <w:tc>
          <w:tcPr>
            <w:tcW w:w="2651" w:type="dxa"/>
            <w:tcBorders>
              <w:top w:val="single" w:color="auto" w:sz="8"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指</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标</w:t>
            </w:r>
          </w:p>
        </w:tc>
        <w:tc>
          <w:tcPr>
            <w:tcW w:w="1567" w:type="dxa"/>
            <w:tcBorders>
              <w:top w:val="single" w:color="auto" w:sz="8"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单</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位</w:t>
            </w:r>
          </w:p>
        </w:tc>
        <w:tc>
          <w:tcPr>
            <w:tcW w:w="1927" w:type="dxa"/>
            <w:gridSpan w:val="2"/>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绝对数</w:t>
            </w:r>
          </w:p>
        </w:tc>
        <w:tc>
          <w:tcPr>
            <w:tcW w:w="2240" w:type="dxa"/>
            <w:gridSpan w:val="3"/>
            <w:tcBorders>
              <w:top w:val="single" w:color="auto" w:sz="8" w:space="0"/>
              <w:left w:val="single" w:color="auto" w:sz="4" w:space="0"/>
              <w:bottom w:val="single" w:color="auto" w:sz="4"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比上年增长</w:t>
            </w:r>
            <w:r>
              <w:rPr>
                <w:rFonts w:hint="eastAsia" w:ascii="宋体" w:hAnsi="宋体" w:eastAsia="宋体" w:cs="宋体"/>
                <w:b/>
                <w:kern w:val="0"/>
                <w:sz w:val="24"/>
                <w:szCs w:val="24"/>
                <w:bdr w:val="none" w:color="auto" w:sz="0" w:space="0"/>
                <w:lang w:val="en-US"/>
              </w:rPr>
              <w:t>%</w:t>
            </w: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120" w:firstLineChars="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货物运输总量</w:t>
            </w:r>
          </w:p>
        </w:tc>
        <w:tc>
          <w:tcPr>
            <w:tcW w:w="1567" w:type="dxa"/>
            <w:tcBorders>
              <w:top w:val="single" w:color="auto" w:sz="4" w:space="0"/>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single" w:color="auto" w:sz="4" w:space="0"/>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6.68 </w:t>
            </w:r>
          </w:p>
        </w:tc>
        <w:tc>
          <w:tcPr>
            <w:tcW w:w="672"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86" w:type="dxa"/>
            <w:tcBorders>
              <w:top w:val="single" w:color="auto" w:sz="4" w:space="0"/>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15.4</w:t>
            </w:r>
          </w:p>
        </w:tc>
        <w:tc>
          <w:tcPr>
            <w:tcW w:w="540" w:type="dxa"/>
            <w:tcBorders>
              <w:top w:val="single" w:color="auto" w:sz="4" w:space="0"/>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single" w:color="auto" w:sz="4" w:space="0"/>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铁</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nil"/>
              <w:left w:val="nil"/>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1.18 </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183" w:rightChars="-87" w:firstLine="328" w:firstLineChars="137"/>
              <w:jc w:val="righ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3.5</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公</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nil"/>
              <w:left w:val="nil"/>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5.42 </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46" w:rightChars="-22" w:firstLine="328" w:firstLineChars="137"/>
              <w:jc w:val="righ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18.7</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运</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nil"/>
              <w:left w:val="nil"/>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0.04 </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firstLine="328" w:firstLineChars="137"/>
              <w:jc w:val="righ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9.2</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民</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航</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万</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nil"/>
              <w:left w:val="nil"/>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6.79 </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firstLine="328" w:firstLineChars="137"/>
              <w:jc w:val="righ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-22.3</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管</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道</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吨</w:t>
            </w:r>
          </w:p>
        </w:tc>
        <w:tc>
          <w:tcPr>
            <w:tcW w:w="1255" w:type="dxa"/>
            <w:tcBorders>
              <w:top w:val="nil"/>
              <w:left w:val="nil"/>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0.04 </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firstLine="328" w:firstLineChars="137"/>
              <w:jc w:val="righ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-2.9</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货物运输周转量</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1070.11</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8.0</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铁</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369.70</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jc w:val="lef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3.2</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公</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617.27</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jc w:val="lef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12.5</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运</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8.19</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jc w:val="lef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18.5</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民</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航</w:t>
            </w:r>
          </w:p>
        </w:tc>
        <w:tc>
          <w:tcPr>
            <w:tcW w:w="1567" w:type="dxa"/>
            <w:tcBorders>
              <w:top w:val="nil"/>
              <w:left w:val="nil"/>
              <w:bottom w:val="nil"/>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1.04</w:t>
            </w:r>
          </w:p>
        </w:tc>
        <w:tc>
          <w:tcPr>
            <w:tcW w:w="67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jc w:val="left"/>
              <w:rPr>
                <w:rFonts w:hint="eastAsia" w:ascii="宋体" w:hAnsi="宋体" w:eastAsia="宋体" w:cs="宋体"/>
                <w:kern w:val="0"/>
                <w:sz w:val="24"/>
                <w:szCs w:val="24"/>
                <w:bdr w:val="none" w:color="auto" w:sz="0" w:space="0"/>
                <w:lang w:val="en-US"/>
              </w:rPr>
            </w:pPr>
          </w:p>
        </w:tc>
        <w:tc>
          <w:tcPr>
            <w:tcW w:w="1486" w:type="dxa"/>
            <w:tcBorders>
              <w:top w:val="nil"/>
              <w:left w:val="single" w:color="auto" w:sz="4"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-19.4</w:t>
            </w:r>
          </w:p>
        </w:tc>
        <w:tc>
          <w:tcPr>
            <w:tcW w:w="54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r>
        <w:tblPrEx>
          <w:tblLayout w:type="fixed"/>
          <w:tblCellMar>
            <w:top w:w="0" w:type="dxa"/>
            <w:left w:w="0" w:type="dxa"/>
            <w:bottom w:w="0" w:type="dxa"/>
            <w:right w:w="0" w:type="dxa"/>
          </w:tblCellMar>
        </w:tblPrEx>
        <w:trPr>
          <w:trHeight w:val="340" w:hRule="atLeast"/>
          <w:jc w:val="center"/>
        </w:trPr>
        <w:tc>
          <w:tcPr>
            <w:tcW w:w="2651" w:type="dxa"/>
            <w:tcBorders>
              <w:top w:val="nil"/>
              <w:left w:val="nil"/>
              <w:bottom w:val="single" w:color="auto" w:sz="8"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管</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道</w:t>
            </w:r>
          </w:p>
        </w:tc>
        <w:tc>
          <w:tcPr>
            <w:tcW w:w="1567" w:type="dxa"/>
            <w:tcBorders>
              <w:top w:val="nil"/>
              <w:left w:val="nil"/>
              <w:bottom w:val="single" w:color="auto" w:sz="8"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亿吨公里</w:t>
            </w:r>
          </w:p>
        </w:tc>
        <w:tc>
          <w:tcPr>
            <w:tcW w:w="1255" w:type="dxa"/>
            <w:tcBorders>
              <w:top w:val="nil"/>
              <w:left w:val="nil"/>
              <w:bottom w:val="single" w:color="auto" w:sz="8" w:space="0"/>
              <w:right w:val="nil"/>
            </w:tcBorders>
            <w:shd w:val="clear"/>
            <w:vAlign w:val="center"/>
          </w:tcPr>
          <w:p>
            <w:pPr>
              <w:keepNext w:val="0"/>
              <w:keepLines w:val="0"/>
              <w:widowControl/>
              <w:suppressLineNumbers w:val="0"/>
              <w:wordWrap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73.91</w:t>
            </w:r>
          </w:p>
        </w:tc>
        <w:tc>
          <w:tcPr>
            <w:tcW w:w="672" w:type="dxa"/>
            <w:tcBorders>
              <w:top w:val="nil"/>
              <w:left w:val="nil"/>
              <w:bottom w:val="single" w:color="auto" w:sz="8" w:space="0"/>
              <w:right w:val="single" w:color="auto" w:sz="4" w:space="0"/>
            </w:tcBorders>
            <w:shd w:val="clear"/>
            <w:vAlign w:val="center"/>
          </w:tcPr>
          <w:p>
            <w:pPr>
              <w:keepNext w:val="0"/>
              <w:keepLines w:val="0"/>
              <w:widowControl/>
              <w:suppressLineNumbers w:val="0"/>
              <w:spacing w:before="0" w:beforeAutospacing="0" w:after="0" w:afterAutospacing="0" w:line="0" w:lineRule="atLeast"/>
              <w:ind w:left="-359" w:leftChars="-171"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757</w:t>
            </w:r>
          </w:p>
        </w:tc>
        <w:tc>
          <w:tcPr>
            <w:tcW w:w="1486" w:type="dxa"/>
            <w:tcBorders>
              <w:top w:val="nil"/>
              <w:left w:val="single" w:color="auto" w:sz="4" w:space="0"/>
              <w:bottom w:val="single" w:color="auto" w:sz="8" w:space="0"/>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-2.0</w:t>
            </w:r>
          </w:p>
        </w:tc>
        <w:tc>
          <w:tcPr>
            <w:tcW w:w="540"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214" w:type="dxa"/>
            <w:tcBorders>
              <w:top w:val="nil"/>
              <w:left w:val="nil"/>
              <w:bottom w:val="single" w:color="auto" w:sz="8" w:space="0"/>
              <w:right w:val="nil"/>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r>
    </w:tbl>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表7  2011年云南省各种运输方式完成旅客运输量及其增长速度</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p>
    <w:tbl>
      <w:tblPr>
        <w:tblW w:w="8535" w:type="dxa"/>
        <w:jc w:val="center"/>
        <w:tblInd w:w="-99" w:type="dxa"/>
        <w:tblBorders>
          <w:top w:val="single" w:color="auto" w:sz="8" w:space="0"/>
          <w:left w:val="none" w:color="auto" w:sz="0" w:space="0"/>
          <w:bottom w:val="single" w:color="auto" w:sz="8" w:space="0"/>
          <w:right w:val="none" w:color="auto" w:sz="0" w:space="0"/>
          <w:insideH w:val="outset" w:color="auto" w:sz="6" w:space="0"/>
          <w:insideV w:val="single" w:color="auto" w:sz="8" w:space="0"/>
        </w:tblBorders>
        <w:shd w:val="clear"/>
        <w:tblLayout w:type="fixed"/>
        <w:tblCellMar>
          <w:top w:w="0" w:type="dxa"/>
          <w:left w:w="0" w:type="dxa"/>
          <w:bottom w:w="0" w:type="dxa"/>
          <w:right w:w="0" w:type="dxa"/>
        </w:tblCellMar>
      </w:tblPr>
      <w:tblGrid>
        <w:gridCol w:w="2710"/>
        <w:gridCol w:w="1567"/>
        <w:gridCol w:w="1394"/>
        <w:gridCol w:w="623"/>
        <w:gridCol w:w="1443"/>
        <w:gridCol w:w="798"/>
      </w:tblGrid>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shd w:val="clear"/>
          <w:tblLayout w:type="fixed"/>
          <w:tblCellMar>
            <w:top w:w="0" w:type="dxa"/>
            <w:left w:w="0" w:type="dxa"/>
            <w:bottom w:w="0" w:type="dxa"/>
            <w:right w:w="0" w:type="dxa"/>
          </w:tblCellMar>
        </w:tblPrEx>
        <w:trPr>
          <w:trHeight w:val="340" w:hRule="atLeast"/>
          <w:jc w:val="center"/>
        </w:trPr>
        <w:tc>
          <w:tcPr>
            <w:tcW w:w="2710" w:type="dxa"/>
            <w:tcBorders>
              <w:top w:val="single" w:color="auto" w:sz="8" w:space="0"/>
              <w:left w:val="nil"/>
              <w:bottom w:val="single" w:color="auto" w:sz="2" w:space="0"/>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指</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标</w:t>
            </w:r>
          </w:p>
        </w:tc>
        <w:tc>
          <w:tcPr>
            <w:tcW w:w="1567" w:type="dxa"/>
            <w:tcBorders>
              <w:top w:val="single" w:color="auto" w:sz="2" w:space="0"/>
              <w:left w:val="single" w:color="auto" w:sz="2" w:space="0"/>
              <w:bottom w:val="single" w:color="auto" w:sz="2" w:space="0"/>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单</w:t>
            </w:r>
            <w:r>
              <w:rPr>
                <w:rFonts w:hint="eastAsia" w:ascii="宋体" w:hAnsi="宋体" w:eastAsia="宋体" w:cs="宋体"/>
                <w:b/>
                <w:kern w:val="0"/>
                <w:sz w:val="24"/>
                <w:szCs w:val="24"/>
                <w:bdr w:val="none" w:color="auto" w:sz="0" w:space="0"/>
                <w:lang w:val="en-US"/>
              </w:rPr>
              <w:t xml:space="preserve">    </w:t>
            </w:r>
            <w:r>
              <w:rPr>
                <w:rFonts w:hint="eastAsia" w:ascii="宋体" w:hAnsi="宋体" w:eastAsia="宋体" w:cs="宋体"/>
                <w:b/>
                <w:kern w:val="0"/>
                <w:sz w:val="24"/>
                <w:szCs w:val="24"/>
                <w:bdr w:val="none" w:color="auto" w:sz="0" w:space="0"/>
              </w:rPr>
              <w:t>位</w:t>
            </w:r>
          </w:p>
        </w:tc>
        <w:tc>
          <w:tcPr>
            <w:tcW w:w="2017"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绝对数</w:t>
            </w:r>
          </w:p>
        </w:tc>
        <w:tc>
          <w:tcPr>
            <w:tcW w:w="2241" w:type="dxa"/>
            <w:gridSpan w:val="2"/>
            <w:tcBorders>
              <w:top w:val="single" w:color="auto" w:sz="8" w:space="0"/>
              <w:left w:val="single" w:color="auto" w:sz="2" w:space="0"/>
              <w:bottom w:val="single" w:color="auto" w:sz="2"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kern w:val="0"/>
                <w:sz w:val="24"/>
                <w:szCs w:val="24"/>
                <w:bdr w:val="none" w:color="auto" w:sz="0" w:space="0"/>
                <w:lang w:val="en-US"/>
              </w:rPr>
            </w:pPr>
            <w:r>
              <w:rPr>
                <w:rFonts w:hint="eastAsia" w:ascii="宋体" w:hAnsi="宋体" w:eastAsia="宋体" w:cs="宋体"/>
                <w:b/>
                <w:kern w:val="0"/>
                <w:sz w:val="24"/>
                <w:szCs w:val="24"/>
                <w:bdr w:val="none" w:color="auto" w:sz="0" w:space="0"/>
              </w:rPr>
              <w:t>比上年增长</w:t>
            </w:r>
            <w:r>
              <w:rPr>
                <w:rFonts w:hint="eastAsia" w:ascii="宋体" w:hAnsi="宋体" w:eastAsia="宋体" w:cs="宋体"/>
                <w:b/>
                <w:kern w:val="0"/>
                <w:sz w:val="24"/>
                <w:szCs w:val="24"/>
                <w:bdr w:val="none" w:color="auto" w:sz="0" w:space="0"/>
                <w:lang w:val="en-US"/>
              </w:rPr>
              <w:t>%</w:t>
            </w: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single" w:color="auto" w:sz="2" w:space="0"/>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120" w:firstLineChars="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旅客运输总量</w:t>
            </w:r>
          </w:p>
        </w:tc>
        <w:tc>
          <w:tcPr>
            <w:tcW w:w="1567" w:type="dxa"/>
            <w:tcBorders>
              <w:top w:val="single" w:color="auto" w:sz="2" w:space="0"/>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人</w:t>
            </w:r>
          </w:p>
        </w:tc>
        <w:tc>
          <w:tcPr>
            <w:tcW w:w="1394" w:type="dxa"/>
            <w:tcBorders>
              <w:top w:val="single" w:color="auto" w:sz="2" w:space="0"/>
              <w:left w:val="single" w:color="auto" w:sz="2" w:space="0"/>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4.71 </w:t>
            </w:r>
          </w:p>
        </w:tc>
        <w:tc>
          <w:tcPr>
            <w:tcW w:w="623" w:type="dxa"/>
            <w:tcBorders>
              <w:top w:val="single" w:color="auto" w:sz="2" w:space="0"/>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43" w:type="dxa"/>
            <w:tcBorders>
              <w:top w:val="single" w:color="auto" w:sz="2" w:space="0"/>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13.7</w:t>
            </w:r>
          </w:p>
        </w:tc>
        <w:tc>
          <w:tcPr>
            <w:tcW w:w="798"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铁</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人</w:t>
            </w:r>
          </w:p>
        </w:tc>
        <w:tc>
          <w:tcPr>
            <w:tcW w:w="1394" w:type="dxa"/>
            <w:tcBorders>
              <w:top w:val="nil"/>
              <w:left w:val="single" w:color="auto" w:sz="2" w:space="0"/>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0.41 </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9.7</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公</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人</w:t>
            </w:r>
          </w:p>
        </w:tc>
        <w:tc>
          <w:tcPr>
            <w:tcW w:w="1394" w:type="dxa"/>
            <w:tcBorders>
              <w:top w:val="nil"/>
              <w:left w:val="single" w:color="auto" w:sz="2" w:space="0"/>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4.14 </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14.3</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运</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人</w:t>
            </w:r>
          </w:p>
        </w:tc>
        <w:tc>
          <w:tcPr>
            <w:tcW w:w="1394" w:type="dxa"/>
            <w:tcBorders>
              <w:top w:val="nil"/>
              <w:left w:val="single" w:color="auto" w:sz="2" w:space="0"/>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0.08 </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15.2</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民</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航</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人</w:t>
            </w:r>
          </w:p>
        </w:tc>
        <w:tc>
          <w:tcPr>
            <w:tcW w:w="1394" w:type="dxa"/>
            <w:tcBorders>
              <w:top w:val="nil"/>
              <w:left w:val="single" w:color="auto" w:sz="2" w:space="0"/>
              <w:bottom w:val="nil"/>
              <w:right w:val="nil"/>
            </w:tcBorders>
            <w:shd w:val="cle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0.08 </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0.6</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120" w:firstLineChars="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旅客运输周转量</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亿人公里</w:t>
            </w:r>
          </w:p>
        </w:tc>
        <w:tc>
          <w:tcPr>
            <w:tcW w:w="1394" w:type="dxa"/>
            <w:tcBorders>
              <w:top w:val="nil"/>
              <w:left w:val="single" w:color="auto" w:sz="2" w:space="0"/>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610.78</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16.6</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铁</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亿人公里</w:t>
            </w:r>
          </w:p>
        </w:tc>
        <w:tc>
          <w:tcPr>
            <w:tcW w:w="1394" w:type="dxa"/>
            <w:tcBorders>
              <w:top w:val="nil"/>
              <w:left w:val="single" w:color="auto" w:sz="2" w:space="0"/>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91.91</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13.9</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公</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路</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亿人公里</w:t>
            </w:r>
          </w:p>
        </w:tc>
        <w:tc>
          <w:tcPr>
            <w:tcW w:w="1394" w:type="dxa"/>
            <w:tcBorders>
              <w:top w:val="nil"/>
              <w:left w:val="single" w:color="auto" w:sz="2" w:space="0"/>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424.57</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20.6</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水</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运</w:t>
            </w:r>
          </w:p>
        </w:tc>
        <w:tc>
          <w:tcPr>
            <w:tcW w:w="1567" w:type="dxa"/>
            <w:tcBorders>
              <w:top w:val="nil"/>
              <w:left w:val="single" w:color="auto" w:sz="2" w:space="0"/>
              <w:bottom w:val="nil"/>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亿人公里</w:t>
            </w:r>
          </w:p>
        </w:tc>
        <w:tc>
          <w:tcPr>
            <w:tcW w:w="1394" w:type="dxa"/>
            <w:tcBorders>
              <w:top w:val="nil"/>
              <w:left w:val="single" w:color="auto" w:sz="2" w:space="0"/>
              <w:bottom w:val="nil"/>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1.96</w:t>
            </w:r>
          </w:p>
        </w:tc>
        <w:tc>
          <w:tcPr>
            <w:tcW w:w="623" w:type="dxa"/>
            <w:tcBorders>
              <w:top w:val="nil"/>
              <w:left w:val="nil"/>
              <w:bottom w:val="nil"/>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nil"/>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10.1</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r>
        <w:tblPrEx>
          <w:tblBorders>
            <w:top w:val="single" w:color="auto" w:sz="8" w:space="0"/>
            <w:left w:val="none" w:color="auto" w:sz="0" w:space="0"/>
            <w:bottom w:val="single" w:color="auto" w:sz="8" w:space="0"/>
            <w:right w:val="none" w:color="auto" w:sz="0" w:space="0"/>
            <w:insideH w:val="outset" w:color="auto" w:sz="6" w:space="0"/>
            <w:insideV w:val="single" w:color="auto" w:sz="8"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single" w:color="auto" w:sz="8" w:space="0"/>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firstLine="360" w:firstLineChars="15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民</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航</w:t>
            </w:r>
          </w:p>
        </w:tc>
        <w:tc>
          <w:tcPr>
            <w:tcW w:w="1567" w:type="dxa"/>
            <w:tcBorders>
              <w:top w:val="nil"/>
              <w:left w:val="single" w:color="auto" w:sz="2" w:space="0"/>
              <w:bottom w:val="single" w:color="auto" w:sz="8" w:space="0"/>
              <w:right w:val="single" w:color="auto" w:sz="2"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亿人公里</w:t>
            </w:r>
          </w:p>
        </w:tc>
        <w:tc>
          <w:tcPr>
            <w:tcW w:w="1394" w:type="dxa"/>
            <w:tcBorders>
              <w:top w:val="nil"/>
              <w:left w:val="single" w:color="auto" w:sz="2" w:space="0"/>
              <w:bottom w:val="single" w:color="auto" w:sz="8" w:space="0"/>
              <w:right w:val="nil"/>
            </w:tcBorders>
            <w:shd w:val="clear"/>
            <w:vAlign w:val="center"/>
          </w:tcPr>
          <w:p>
            <w:pPr>
              <w:keepNext w:val="0"/>
              <w:keepLines w:val="0"/>
              <w:widowControl/>
              <w:suppressLineNumbers w:val="0"/>
              <w:spacing w:before="0" w:beforeAutospacing="0" w:after="0" w:afterAutospacing="0" w:line="0" w:lineRule="atLeast"/>
              <w:ind w:left="0" w:right="105"/>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92.34</w:t>
            </w:r>
          </w:p>
        </w:tc>
        <w:tc>
          <w:tcPr>
            <w:tcW w:w="623" w:type="dxa"/>
            <w:tcBorders>
              <w:top w:val="nil"/>
              <w:left w:val="nil"/>
              <w:bottom w:val="single" w:color="auto" w:sz="8" w:space="0"/>
              <w:right w:val="single" w:color="auto" w:sz="2" w:space="0"/>
            </w:tcBorders>
            <w:shd w:val="clear"/>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bdr w:val="none" w:color="auto" w:sz="0" w:space="0"/>
                <w:lang w:val="en-US"/>
              </w:rPr>
            </w:pPr>
          </w:p>
        </w:tc>
        <w:tc>
          <w:tcPr>
            <w:tcW w:w="1443" w:type="dxa"/>
            <w:tcBorders>
              <w:top w:val="nil"/>
              <w:left w:val="single" w:color="auto" w:sz="2" w:space="0"/>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3.7</w:t>
            </w:r>
          </w:p>
        </w:tc>
        <w:tc>
          <w:tcPr>
            <w:tcW w:w="798" w:type="dxa"/>
            <w:tcBorders>
              <w:top w:val="nil"/>
              <w:left w:val="nil"/>
              <w:bottom w:val="single" w:color="auto" w:sz="8" w:space="0"/>
              <w:right w:val="nil"/>
            </w:tcBorders>
            <w:shd w:val="clear"/>
            <w:vAlign w:val="center"/>
          </w:tcPr>
          <w:p>
            <w:pPr>
              <w:keepNext w:val="0"/>
              <w:keepLines w:val="0"/>
              <w:widowControl/>
              <w:suppressLineNumbers w:val="0"/>
              <w:spacing w:before="0" w:beforeAutospacing="0" w:after="0" w:afterAutospacing="0" w:line="0" w:lineRule="atLeast"/>
              <w:ind w:left="0" w:right="0"/>
              <w:jc w:val="right"/>
              <w:rPr>
                <w:rFonts w:hint="eastAsia" w:ascii="宋体" w:hAnsi="宋体" w:eastAsia="宋体" w:cs="宋体"/>
                <w:kern w:val="0"/>
                <w:sz w:val="24"/>
                <w:szCs w:val="24"/>
                <w:bdr w:val="none" w:color="auto" w:sz="0" w:space="0"/>
                <w:lang w:val="en-US"/>
              </w:rPr>
            </w:pPr>
          </w:p>
        </w:tc>
      </w:tr>
    </w:tbl>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b/>
          <w:bCs w:val="0"/>
          <w:kern w:val="0"/>
          <w:sz w:val="24"/>
          <w:szCs w:val="24"/>
          <w:lang w:val="en-US"/>
        </w:rPr>
      </w:pP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全省民用汽车保有量达到287.72万辆（包括三轮汽车和低速货车7.68万辆），比上年末增长18.7%，其中私人汽车保有量235.62万辆，增长21.5%。民用轿车保有量115.26万辆，增长22.1%，其中私人轿车101.81万辆，增长24.2%。</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全年完成邮电业务总量</w:t>
      </w:r>
      <w:r>
        <w:rPr>
          <w:rFonts w:hint="eastAsia" w:ascii="宋体" w:hAnsi="宋体" w:eastAsia="宋体" w:cs="宋体"/>
          <w:kern w:val="0"/>
          <w:sz w:val="24"/>
          <w:szCs w:val="24"/>
          <w:vertAlign w:val="superscript"/>
          <w:lang w:val="en-US" w:eastAsia="zh-CN" w:bidi="ar"/>
        </w:rPr>
        <w:t>[8]</w:t>
      </w:r>
      <w:r>
        <w:rPr>
          <w:rFonts w:hint="eastAsia" w:ascii="宋体" w:hAnsi="宋体" w:eastAsia="宋体" w:cs="宋体"/>
          <w:kern w:val="0"/>
          <w:sz w:val="24"/>
          <w:szCs w:val="24"/>
          <w:lang w:val="en-US" w:eastAsia="zh-CN" w:bidi="ar"/>
        </w:rPr>
        <w:t>314.65亿元，比上年增长17.0%。其中，邮政业务总量16.32亿元，增长8.2%；电信业务总量298.33亿元，增长17.2%。年末固定电话用户540.11万户。其中，城市电话用户361.43万户，农村电话用户178.68万户。新增移动电话用户345.01万户，年末达到2589.51万户，其中3G移动电话用户234.16万户。年末全省固定及移动电话用户总数达到3129.62万户，比上年末增加322.52万户。电话用户普及率达到68.47部/百人。固定宽带接入用户306.52万户,移动互联网用户1662.72万户(含无线上网卡用户和手机上网用户)。</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接待海外入境旅客(包括口岸入境一日游)763.72万人次，比上年增长15.2%，实现旅游外汇收入14.01亿美元，增长22.8%。全年接待国内游客1.63亿人次，增长18.0%；实现国内旅游收入1195.73亿元，增长30.4%；全省实现旅游业总收入1300.29亿元，增长29.1%。</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七、金融、保险和证券</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年末金融机构人民币存款余额达15356.86亿元，比上年末增长14.5%,其中城乡居民储蓄存款余额6654.87亿元，增长16.4%。年末全省金融机构人民币各项贷款余额达12114.59亿元，增长14.6%。</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全年保险公司原保险保费收入256.18亿元，比上年增长8.7%。其中，财产险业务原保险保费收入109.17亿元，增长15.9%；寿险业务原保险保费收入119.41亿元，增长1.7%；健康险和意外伤害险业务原保险保费收入27.6亿元，增长14.8%。全年支付各类赔款及给付84.66亿元，比上年增长27.7%。其中，财产险业务赔款47.38亿元，增长24.8%；寿险业务给付24.84亿元，增长42.8%；健康险和意外伤害险赔款及给付12.44亿元，增长13.5%。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云南企业通过证券市场累计筹资100.25亿元，比上年增加51.35亿元。其中，A股再筹资（包括配股、公开增发、非公开增发、认股权证筹资）78.25亿元，增加62.7亿元；上市公司通过发行可转债、可分离债、公司债筹资22亿元，增加22亿元。年末全省共有上市公司28家，总股本168.7亿股；总市值1853.7亿元，比上年减少937.9亿元。</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八、教育和科学技术</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普通高等学校招生16.13万人，比上年增长13.2%；在校学生48.76万人，比上年增长11.1%；毕业生10.95万人，比上年增长14.8%。各类中等职业教育招生22.37万人，在校生67.59万人，毕业生15.58万人。普通高中招生24.38万人，在校生66.11万人，毕业生19.23万人。初中招生68.62万人，在校生204.87万人，毕业生66.77万人。普通小学招生65.38万人，在校生424.08万人，毕业生72.91万人。幼儿园在园幼儿108.59万人。小学学龄儿童入学率达99.61%，小学毕业生升学率达94.25%。高等教育毛入学率达23%，高中阶段教育毛入学率达70%。</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科学研究与试验发展(R&amp;D)经费支出52.7亿元，比上年增长19.3%，占生产总值（GDP）的比重达0.6%，与上年持平。年末共有国家认定企业技术中心13个，省级企业技术中心198个，省级以上重点实验室35个，省级创新型试点企业110家。全年共登记科技成果744项，其中基础理论成果35项，应用技术成果676项，软科学成果33项，有9个项目获得2011年度国家科学技术奖，有3名科学家获2011年度何梁何利基金科学与技术奖。已建立国家级高新技术开发区1个，省级高新技术开发区3个。全年专利申请7150件，获专利授权4199件；签订技术合同1246项，成交金额达11.86亿元，比上年增长5.8%。花卉新品种“秋日”（非洲菊）成为我国第一个获欧盟授权品种，重大水利水电工程多项施工技术创国内第一，中国第一条全流程钛带卷生产线在滇投产。</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九、文化、卫生和体育</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年末全省共有各种艺术表演团体162个，文化馆148个，公共图书馆153个，博物馆67个。全省广播、电视人口覆盖率分别达到95.69%和96.72%。中、短波转播发射台60座，广播电台17座，电视台17座，有线电视用户534万户。</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年末全省共有卫生机构9956个,医院845个；卫生机构拥有床位数17.34万张，卫生技术人员15.1万人,其中医生6.47万人。疾病预防控制机构150个，卫生技术人员6477人；专科防治机构30个，卫生技术人员615人；妇幼保健院（所、站）148个，卫生技术人员5365人。乡镇卫生院1388个，床位3.61万张，卫生技术人员2.32万人。全年甲、乙类法定报告传染病发病人数82521例，报告死亡1557人；报告传染病发病率179.52/10万，死亡率3.39/10万。</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全年云南运动员在国际比赛中获金、银、铜牌5枚；在全国比赛中获金、银、铜牌33枚。</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24"/>
          <w:szCs w:val="24"/>
          <w:lang w:val="en-US"/>
        </w:rPr>
      </w:pPr>
      <w:r>
        <w:rPr>
          <w:rFonts w:hint="eastAsia" w:ascii="宋体" w:hAnsi="宋体" w:eastAsia="宋体" w:cs="宋体"/>
          <w:kern w:val="0"/>
          <w:sz w:val="24"/>
          <w:szCs w:val="24"/>
          <w:lang w:val="en-US" w:eastAsia="zh-CN" w:bidi="ar"/>
        </w:rPr>
        <w:t>十、资源、环境和安全生产</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年末全省各级环境监测站186个，环境监测人员1456人。城市污水处理率达到98.0%，工业固体废物综合利用率达到46.6%。全年化学需氧量排放量比上年削减1.58%，二氧化硫排放量比上年削减1.78%。</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共完成营造林929.94万亩,启动实施4730.18万亩省级公益林生态效益补偿，治理水土流失面积3301.3平方公里。截止年底，已确权集体林地面积为1800万公顷，其中发放林权证的面积为1786.7万公顷。年末全省自然保护区156个，其中国家级自然保护区17个，省级自然保护区42个。自然保护区面积286.63万公顷，其中国家级自然保护区面积144.97万公顷，省级自然保护区面积76.08万公顷。</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水资源总量1364.57亿立方米，比上年下降29.7%；人均水资源2955.98立方米，减少30.1%。全年平均降水量985.1毫米，下降16.9%。年末全省水利工程蓄水总量47.39亿立方米，比上年末下降26.4%。全年总用水量142.64亿立方米，比上年减少3.3%。万元生产总值用水量</w:t>
      </w:r>
      <w:r>
        <w:rPr>
          <w:rFonts w:hint="eastAsia" w:ascii="宋体" w:hAnsi="宋体" w:eastAsia="宋体" w:cs="宋体"/>
          <w:kern w:val="0"/>
          <w:sz w:val="24"/>
          <w:szCs w:val="24"/>
          <w:vertAlign w:val="superscript"/>
          <w:lang w:val="en-US" w:eastAsia="zh-CN" w:bidi="ar"/>
        </w:rPr>
        <w:t>[9]</w:t>
      </w:r>
      <w:r>
        <w:rPr>
          <w:rFonts w:hint="eastAsia" w:ascii="宋体" w:hAnsi="宋体" w:eastAsia="宋体" w:cs="宋体"/>
          <w:kern w:val="0"/>
          <w:sz w:val="24"/>
          <w:szCs w:val="24"/>
          <w:lang w:val="en-US" w:eastAsia="zh-CN" w:bidi="ar"/>
        </w:rPr>
        <w:t>163立方米，比上年下降20.1%。万元工业增加值用水量81.4立方米，下降16.86%。全省人均用水量为309立方米，下降3.7%。</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能源消费总量9540.28万吨标准煤，比上年增长9.98%。全年全社会用电量为1204.07亿千瓦时，比上年增长19.9%。在规模以上工业主要能源消费量中，原煤消费量7886.38万吨，增长9.0%；洗精煤消费量1696.66万吨，增长10.3%；焦炭消费量1159.77万吨，下降0.2%，天然气消费量3.77亿立方米，增长12.9%,电力消费量744.41亿千瓦时，增长11.9%。全省能源消费量结构为：第一产业占2.04%；第二产业占74.74%；第三产业占14.59%；居民生活消费占8.63%。全省单位生产总值能耗比上年下降3.22%；单位工业增加值能耗比上年下降6.65%；单位生产总值电耗比上年增长5.45%。全年共实现节能量130.26万吨标准煤。</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生产安全事故死亡人数为2388人，比上年下降1.24%。亿元GDP生产安全事故死亡人数为0.27人，下降17.3%；工矿商贸企业(不含煤矿)生产安全事故死亡人数为319人，下降8.07%；煤矿百万吨死亡人数为1.838人，增长77.6%。全年共发生道路交通事故5021起，造成1806人死亡、6467人受伤，直接财产损失2689.54万元；道路交通事故万车死亡率为2.13，下降16.8%。</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十一、人口、人民生活与社会保障</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全省常住人口为4631万人，比上年末增加29.4万人。全年出生人口58.8万人，出生率为12.7‰；死亡人口29.6万人，死亡率为6.4‰；自然增长率为6.35‰，比上年下降0.19个千分点。年末全省城镇化率达36.8%，比上年提高2个百分点。城镇人口1704万人，乡村人口2927万人。</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lang w:val="en-US"/>
        </w:rPr>
      </w:pP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表8   2011年人口数及其构成</w:t>
      </w: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单位：万人</w:t>
      </w:r>
    </w:p>
    <w:tbl>
      <w:tblPr>
        <w:tblW w:w="8305" w:type="dxa"/>
        <w:jc w:val="center"/>
        <w:tblInd w:w="1" w:type="dxa"/>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shd w:val="clear"/>
        <w:tblLayout w:type="fixed"/>
        <w:tblCellMar>
          <w:top w:w="0" w:type="dxa"/>
          <w:left w:w="0" w:type="dxa"/>
          <w:bottom w:w="0" w:type="dxa"/>
          <w:right w:w="0" w:type="dxa"/>
        </w:tblCellMar>
      </w:tblPr>
      <w:tblGrid>
        <w:gridCol w:w="3763"/>
        <w:gridCol w:w="2805"/>
        <w:gridCol w:w="1737"/>
      </w:tblGrid>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shd w:val="clear"/>
          <w:tblLayout w:type="fixed"/>
          <w:tblCellMar>
            <w:top w:w="0" w:type="dxa"/>
            <w:left w:w="0" w:type="dxa"/>
            <w:bottom w:w="0" w:type="dxa"/>
            <w:right w:w="0" w:type="dxa"/>
          </w:tblCellMar>
        </w:tblPrEx>
        <w:trPr>
          <w:trHeight w:val="567" w:hRule="atLeast"/>
          <w:jc w:val="center"/>
        </w:trPr>
        <w:tc>
          <w:tcPr>
            <w:tcW w:w="3763" w:type="dxa"/>
            <w:tcBorders>
              <w:top w:val="single" w:color="000000" w:sz="12" w:space="0"/>
              <w:left w:val="nil"/>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hanging="288"/>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w:t>
            </w:r>
            <w:r>
              <w:rPr>
                <w:rFonts w:hint="eastAsia" w:ascii="宋体" w:hAnsi="宋体" w:eastAsia="宋体" w:cs="宋体"/>
                <w:kern w:val="0"/>
                <w:sz w:val="24"/>
                <w:szCs w:val="24"/>
                <w:bdr w:val="none" w:color="auto" w:sz="0" w:space="0"/>
              </w:rPr>
              <w:t>指</w:t>
            </w:r>
            <w:r>
              <w:rPr>
                <w:rFonts w:hint="eastAsia" w:ascii="宋体" w:hAnsi="宋体" w:eastAsia="宋体" w:cs="宋体"/>
                <w:kern w:val="0"/>
                <w:sz w:val="24"/>
                <w:szCs w:val="24"/>
                <w:bdr w:val="none" w:color="auto" w:sz="0" w:space="0"/>
                <w:lang w:val="en-US"/>
              </w:rPr>
              <w:t xml:space="preserve">   </w:t>
            </w:r>
            <w:r>
              <w:rPr>
                <w:rFonts w:hint="eastAsia" w:ascii="宋体" w:hAnsi="宋体" w:eastAsia="宋体" w:cs="宋体"/>
                <w:kern w:val="0"/>
                <w:sz w:val="24"/>
                <w:szCs w:val="24"/>
                <w:bdr w:val="none" w:color="auto" w:sz="0" w:space="0"/>
              </w:rPr>
              <w:t>标</w:t>
            </w:r>
          </w:p>
        </w:tc>
        <w:tc>
          <w:tcPr>
            <w:tcW w:w="2805" w:type="dxa"/>
            <w:tcBorders>
              <w:top w:val="single" w:color="auto" w:sz="1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年末数</w:t>
            </w:r>
          </w:p>
        </w:tc>
        <w:tc>
          <w:tcPr>
            <w:tcW w:w="1737" w:type="dxa"/>
            <w:tcBorders>
              <w:top w:val="single" w:color="000000" w:sz="12" w:space="0"/>
              <w:left w:val="single" w:color="000000" w:sz="2" w:space="0"/>
              <w:bottom w:val="single" w:color="000000" w:sz="2" w:space="0"/>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比重（</w:t>
            </w:r>
            <w:r>
              <w:rPr>
                <w:rFonts w:hint="eastAsia" w:ascii="宋体" w:hAnsi="宋体" w:eastAsia="宋体" w:cs="宋体"/>
                <w:kern w:val="0"/>
                <w:sz w:val="24"/>
                <w:szCs w:val="24"/>
                <w:bdr w:val="none" w:color="auto" w:sz="0" w:space="0"/>
                <w:lang w:val="en-US"/>
              </w:rPr>
              <w:t>%</w:t>
            </w:r>
            <w:r>
              <w:rPr>
                <w:rFonts w:hint="eastAsia" w:ascii="宋体" w:hAnsi="宋体" w:eastAsia="宋体" w:cs="宋体"/>
                <w:kern w:val="0"/>
                <w:sz w:val="24"/>
                <w:szCs w:val="24"/>
                <w:bdr w:val="none" w:color="auto" w:sz="0" w:space="0"/>
              </w:rPr>
              <w:t>）</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single" w:color="000000" w:sz="2" w:space="0"/>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全省总人口</w:t>
            </w:r>
          </w:p>
        </w:tc>
        <w:tc>
          <w:tcPr>
            <w:tcW w:w="2805" w:type="dxa"/>
            <w:tcBorders>
              <w:top w:val="single" w:color="000000" w:sz="2" w:space="0"/>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4631.00</w:t>
            </w:r>
          </w:p>
        </w:tc>
        <w:tc>
          <w:tcPr>
            <w:tcW w:w="1737" w:type="dxa"/>
            <w:tcBorders>
              <w:top w:val="single" w:color="000000" w:sz="2" w:space="0"/>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100.0</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480" w:firstLineChars="2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其中：城镇</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1704.00</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36.8</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乡村</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2927.00</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63.2</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480" w:firstLineChars="2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其中：男性</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2404.60</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51.9</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女性</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2226.40</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48.1</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480" w:firstLineChars="2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rPr>
              <w:t>其中：</w:t>
            </w:r>
            <w:r>
              <w:rPr>
                <w:rFonts w:hint="eastAsia" w:ascii="宋体" w:hAnsi="宋体" w:eastAsia="宋体" w:cs="宋体"/>
                <w:kern w:val="0"/>
                <w:sz w:val="24"/>
                <w:szCs w:val="24"/>
                <w:bdr w:val="none" w:color="auto" w:sz="0" w:space="0"/>
                <w:lang w:val="en-US"/>
              </w:rPr>
              <w:t>0-14</w:t>
            </w:r>
            <w:r>
              <w:rPr>
                <w:rFonts w:hint="eastAsia" w:ascii="宋体" w:hAnsi="宋体" w:eastAsia="宋体" w:cs="宋体"/>
                <w:kern w:val="0"/>
                <w:sz w:val="24"/>
                <w:szCs w:val="24"/>
                <w:bdr w:val="none" w:color="auto" w:sz="0" w:space="0"/>
              </w:rPr>
              <w:t>岁</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932.25</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20.1</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15-64</w:t>
            </w:r>
            <w:r>
              <w:rPr>
                <w:rFonts w:hint="eastAsia" w:ascii="宋体" w:hAnsi="宋体" w:eastAsia="宋体" w:cs="宋体"/>
                <w:kern w:val="0"/>
                <w:sz w:val="24"/>
                <w:szCs w:val="24"/>
                <w:bdr w:val="none" w:color="auto" w:sz="0" w:space="0"/>
              </w:rPr>
              <w:t>岁</w:t>
            </w:r>
          </w:p>
        </w:tc>
        <w:tc>
          <w:tcPr>
            <w:tcW w:w="2805" w:type="dxa"/>
            <w:tcBorders>
              <w:top w:val="nil"/>
              <w:left w:val="single" w:color="000000" w:sz="2" w:space="0"/>
              <w:bottom w:val="nil"/>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3340.98</w:t>
            </w:r>
          </w:p>
        </w:tc>
        <w:tc>
          <w:tcPr>
            <w:tcW w:w="1737" w:type="dxa"/>
            <w:tcBorders>
              <w:top w:val="nil"/>
              <w:left w:val="single" w:color="000000" w:sz="2" w:space="0"/>
              <w:bottom w:val="nil"/>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72.2</w:t>
            </w:r>
          </w:p>
        </w:tc>
      </w:tr>
      <w:tr>
        <w:tblPrEx>
          <w:tblBorders>
            <w:top w:val="single" w:color="000000" w:sz="2" w:space="0"/>
            <w:left w:val="none" w:color="auto" w:sz="0" w:space="0"/>
            <w:bottom w:val="single" w:color="000000" w:sz="2" w:space="0"/>
            <w:right w:val="none" w:color="auto" w:sz="0" w:space="0"/>
            <w:insideH w:val="outset" w:color="auto" w:sz="6" w:space="0"/>
            <w:insideV w:val="single" w:color="000000" w:sz="2" w:space="0"/>
          </w:tblBorders>
          <w:tblLayout w:type="fixed"/>
          <w:tblCellMar>
            <w:top w:w="0" w:type="dxa"/>
            <w:left w:w="0" w:type="dxa"/>
            <w:bottom w:w="0" w:type="dxa"/>
            <w:right w:w="0" w:type="dxa"/>
          </w:tblCellMar>
        </w:tblPrEx>
        <w:trPr>
          <w:trHeight w:val="283" w:hRule="atLeast"/>
          <w:jc w:val="center"/>
        </w:trPr>
        <w:tc>
          <w:tcPr>
            <w:tcW w:w="3763" w:type="dxa"/>
            <w:tcBorders>
              <w:top w:val="nil"/>
              <w:left w:val="nil"/>
              <w:bottom w:val="single" w:color="000000" w:sz="12" w:space="0"/>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firstLine="1200" w:firstLineChars="50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65</w:t>
            </w:r>
            <w:r>
              <w:rPr>
                <w:rFonts w:hint="eastAsia" w:ascii="宋体" w:hAnsi="宋体" w:eastAsia="宋体" w:cs="宋体"/>
                <w:kern w:val="0"/>
                <w:sz w:val="24"/>
                <w:szCs w:val="24"/>
                <w:bdr w:val="none" w:color="auto" w:sz="0" w:space="0"/>
              </w:rPr>
              <w:t>岁及以上</w:t>
            </w:r>
          </w:p>
        </w:tc>
        <w:tc>
          <w:tcPr>
            <w:tcW w:w="2805" w:type="dxa"/>
            <w:tcBorders>
              <w:top w:val="nil"/>
              <w:left w:val="single" w:color="000000" w:sz="2" w:space="0"/>
              <w:bottom w:val="single" w:color="000000" w:sz="12" w:space="0"/>
              <w:right w:val="single" w:color="000000" w:sz="2"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357.57</w:t>
            </w:r>
          </w:p>
        </w:tc>
        <w:tc>
          <w:tcPr>
            <w:tcW w:w="1737" w:type="dxa"/>
            <w:tcBorders>
              <w:top w:val="nil"/>
              <w:left w:val="single" w:color="000000" w:sz="2" w:space="0"/>
              <w:bottom w:val="single" w:color="000000" w:sz="12" w:space="0"/>
              <w:right w:val="nil"/>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rPr>
              <w:t xml:space="preserve">   7.7</w:t>
            </w:r>
          </w:p>
        </w:tc>
      </w:tr>
    </w:tbl>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全年城镇新增就业人数27.6万人，新增转移农村劳动力168.4万人次。年末全省城镇实有登记失业人数15.99万人，城镇登记失业率4.05%。</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全年城镇居民人均可支配收入</w:t>
      </w:r>
      <w:r>
        <w:rPr>
          <w:rFonts w:hint="eastAsia" w:ascii="宋体" w:hAnsi="宋体" w:eastAsia="宋体" w:cs="宋体"/>
          <w:kern w:val="0"/>
          <w:sz w:val="24"/>
          <w:szCs w:val="24"/>
          <w:vertAlign w:val="superscript"/>
          <w:lang w:val="en-US" w:eastAsia="zh-CN" w:bidi="ar"/>
        </w:rPr>
        <w:t>[10]</w:t>
      </w:r>
      <w:r>
        <w:rPr>
          <w:rFonts w:hint="eastAsia" w:ascii="宋体" w:hAnsi="宋体" w:eastAsia="宋体" w:cs="宋体"/>
          <w:kern w:val="0"/>
          <w:sz w:val="24"/>
          <w:szCs w:val="24"/>
          <w:lang w:val="en-US" w:eastAsia="zh-CN" w:bidi="ar"/>
        </w:rPr>
        <w:t>18576元，扣除价格因素，比上年实际增长10.3%；城镇居民人均消费性支出12248元，比上年增长10.6%。 全省职工年平均工资35387元，比上年增长17.3%。农村居民人均纯收入4722元，扣除价格因素，比上年实际增长13.9%；农村居民人均生活消费支出4000元，比上年增长17.7%。城镇居民家庭食品消费支出占消费总支出的比重为39.2%，农村居民家庭食品消费支出占消费总支出的比重为47.1%。</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年末全省参加城镇职工基本养老保险人数为342.82万人，比上年末增加25.4万人。其中，参保职工238.66万人，参保离退休人员104.16万人。参加城镇基本医疗保险人数为865.8万人, 增加45.32万人。其中，参加城镇职工基本医疗保险人数</w:t>
      </w:r>
      <w:r>
        <w:rPr>
          <w:rFonts w:hint="eastAsia" w:ascii="宋体" w:hAnsi="宋体" w:eastAsia="宋体" w:cs="宋体"/>
          <w:kern w:val="0"/>
          <w:sz w:val="24"/>
          <w:szCs w:val="24"/>
          <w:vertAlign w:val="superscript"/>
          <w:lang w:val="en-US" w:eastAsia="zh-CN" w:bidi="ar"/>
        </w:rPr>
        <w:t>[11]</w:t>
      </w:r>
      <w:r>
        <w:rPr>
          <w:rFonts w:hint="eastAsia" w:ascii="宋体" w:hAnsi="宋体" w:eastAsia="宋体" w:cs="宋体"/>
          <w:kern w:val="0"/>
          <w:sz w:val="24"/>
          <w:szCs w:val="24"/>
          <w:lang w:val="en-US" w:eastAsia="zh-CN" w:bidi="ar"/>
        </w:rPr>
        <w:t>443.36万人，参加城镇居民基本医疗保险人数422.44万人。参加城镇医疗保险的农民工为19.69万人。全省参加失业保险人数为216.75万人，比上年末增加7.14万人。参加农村养老保险的人数为1295.8万人，比上年末增加611.18万人；参加新型农村合作医疗的农民为3456.25万人，增加44.1万人，参合率达96.18%，比上年提高0.89个百分点。新型农村合作医疗基金累计支出总额为57.74亿元，累计受益7862.22万人次。全省享受城市最低生活保障的居民为93.11万人，比上年增加0.51万人；享受农村最低生活保障的农村居民为403.37万人，比上年增加25.27万人。</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末全省共有各类收养性社会福利单位床位4.96万张，全年收养各类人员3.8万人。州（市）级儿童福利院772个，流浪未成年人保护中心19个。农村养老服务机构661个，床位3.59万张，收养各类人员2.8万人，集中供养率超过了89%。各类社区服务设施572个，其中，社区服务中心75个，社区服务站497个。全年销售社会福利彩票39.64亿元，筹集社会福利资金11.02亿元，接受社会捐赠2.3亿元。</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注释： </w:t>
      </w:r>
    </w:p>
    <w:p>
      <w:pPr>
        <w:keepNext w:val="0"/>
        <w:keepLines w:val="0"/>
        <w:widowControl/>
        <w:suppressLineNumbers w:val="0"/>
        <w:spacing w:before="0" w:beforeAutospacing="0" w:after="0" w:afterAutospacing="0" w:line="0" w:lineRule="atLeas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[1]本公报中数据均为初步统计数。</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[2]生产总值、三次产业增加值的绝对值按现价计算，增长速度按可比价计算。</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[3]粮食总产量由国家统计局云南调查总队提供。</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[4]肉类总产量、牛奶产量、禽蛋产量由国家统计局云南调查总队提供。</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[5]规模以上工业企业是指年主营业务收入2000 万元及以上工业法人企业。</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[6]规模以上固定资产投资（不含农户）是计划总投资 500万元以上的固定资产项目投资，包括房地产开发项目投资。</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[7]限额以上批发企业是指年主营业务收入2000万元及以上的企业，限额以上零售企业是指年主营业务收入500万元及以上的企业；</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[8]</w:t>
      </w:r>
      <w:r>
        <w:rPr>
          <w:rFonts w:hint="eastAsia" w:ascii="宋体" w:hAnsi="宋体" w:eastAsia="宋体" w:cs="宋体"/>
          <w:kern w:val="0"/>
          <w:sz w:val="24"/>
          <w:szCs w:val="24"/>
          <w:lang w:val="en-US" w:eastAsia="zh-CN" w:bidi="ar"/>
        </w:rPr>
        <w:t>邮电业务总量按2010年不变价格计算。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[9]万元生产总值用水量、万元工业增加值用水量、单位生产总值能耗按2010年不变价格计算。</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[10]城镇居民人均可支配收入和农村居民人均纯收入的增长速度为扣除价格因素影响后的实际增速, 城镇居民人均消费性支出和农村居民人均生活消费支出的增长速度未扣除价格因素的影响。</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[11]城镇职工基本医疗保险人数包括参保职工和参保退休人员。城镇居民基本医疗保险的参保对象是不属于城镇职工基本医疗保险覆盖范围的城镇非从业人员。</w:t>
      </w:r>
      <w:bookmarkEnd w:id="0"/>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75F8"/>
    <w:rsid w:val="1C560F72"/>
    <w:rsid w:val="49FA0047"/>
    <w:rsid w:val="5EDC5866"/>
    <w:rsid w:val="6627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于露</cp:lastModifiedBy>
  <dcterms:modified xsi:type="dcterms:W3CDTF">2022-01-06T08:32:53Z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