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C3F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420" w:afterAutospacing="0"/>
        <w:ind w:left="0" w:right="0"/>
        <w:jc w:val="center"/>
      </w:pPr>
      <w:r>
        <w:rPr>
          <w:rFonts w:ascii="方正大标宋_GBK" w:hAnsi="方正大标宋_GBK" w:eastAsia="方正大标宋_GBK" w:cs="方正大标宋_GBK"/>
          <w:color w:val="000000"/>
          <w:sz w:val="42"/>
          <w:szCs w:val="42"/>
        </w:rPr>
        <w:t>主要统计指标解释</w:t>
      </w:r>
    </w:p>
    <w:p w14:paraId="1E5A9A5C">
      <w:pPr>
        <w:pStyle w:val="6"/>
        <w:spacing w:beforeLines="0" w:afterLines="0"/>
        <w:rPr>
          <w:rFonts w:hint="eastAsia"/>
          <w:sz w:val="21"/>
          <w:szCs w:val="24"/>
        </w:rPr>
      </w:pPr>
      <w:r>
        <w:rPr>
          <w:rFonts w:hint="eastAsia"/>
          <w:sz w:val="21"/>
          <w:szCs w:val="24"/>
        </w:rPr>
        <w:t>指一个国家所有常住单位在一定时期内生产活动的最终成果。国内生产总值有三种表现形态，即价值形态、收入形态和产品形态。从价值形态看，它是所有常住单位在一定时期内生产的全部货物和服务价值与同期投入的全部非固定资产货物和服务价值的差额，即所有常住单位的增加值之和；从收入形态看，它是所有常住单位在一定时期内创造的各项收入之和，包括劳动者报酬、生产税净额、固定资产折旧和营业盈余；从产品形态看，它是所有常住单位在一定时期内最终使用的货物和服务价值与货物和服务净出口价值之和。在实际核算中，国内生产总值有三种计算方法，即生产法、收入法和支出法。三种方法分别从不同的方面反映国内生产总值及其构成。</w:t>
      </w:r>
    </w:p>
    <w:p w14:paraId="49A91EFB">
      <w:pPr>
        <w:pStyle w:val="6"/>
        <w:spacing w:beforeLines="0" w:afterLines="0"/>
        <w:rPr>
          <w:rFonts w:hint="eastAsia"/>
          <w:sz w:val="21"/>
          <w:szCs w:val="24"/>
        </w:rPr>
      </w:pPr>
      <w:r>
        <w:rPr>
          <w:rFonts w:hint="eastAsia"/>
          <w:sz w:val="21"/>
          <w:szCs w:val="24"/>
        </w:rPr>
        <w:t>对于一个地区来说，称为地区生产总值或地区 GDP。</w:t>
      </w:r>
    </w:p>
    <w:p w14:paraId="5992FA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方正书宋_GBK" w:hAnsi="方正书宋_GBK" w:eastAsia="方正书宋_GBK" w:cs="方正书宋_GBK"/>
          <w:color w:val="000000"/>
          <w:sz w:val="21"/>
          <w:szCs w:val="21"/>
        </w:rPr>
        <w:t>三次产业 三次产业的划分是世界上较为常用的产业结构分类，但各国的划分不尽一致。中国的三次产业划分是：</w:t>
      </w:r>
    </w:p>
    <w:p w14:paraId="490F25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方正书宋_GBK" w:hAnsi="方正书宋_GBK" w:eastAsia="方正书宋_GBK" w:cs="方正书宋_GBK"/>
          <w:color w:val="000000"/>
          <w:sz w:val="21"/>
          <w:szCs w:val="21"/>
        </w:rPr>
        <w:t>第一产业：是指农（种植）、林、牧、渔业（不含农、林、牧、渔服务业）。</w:t>
      </w:r>
    </w:p>
    <w:p w14:paraId="0A505D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方正书宋_GBK" w:hAnsi="方正书宋_GBK" w:eastAsia="方正书宋_GBK" w:cs="方正书宋_GBK"/>
          <w:color w:val="000000"/>
          <w:sz w:val="21"/>
          <w:szCs w:val="21"/>
        </w:rPr>
        <w:t>第二产业：是指采矿业（不含开采辅助活动），制造业（不含金属制品、机械和设备修理业），电力、热力、燃气及水生产和供应业，建筑业。</w:t>
      </w:r>
    </w:p>
    <w:p w14:paraId="71D27F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方正书宋_GBK" w:hAnsi="方正书宋_GBK" w:eastAsia="方正书宋_GBK" w:cs="方正书宋_GBK"/>
          <w:color w:val="000000"/>
          <w:sz w:val="21"/>
          <w:szCs w:val="21"/>
        </w:rPr>
        <w:t>第三产业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国际组织，以及农、林、牧、渔业中的农、林、牧、渔服务业，采矿业中的开采辅助活动，制造业中的金属制品、机械和设备修理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F14644E"/>
    <w:rsid w:val="6E260A9C"/>
    <w:rsid w:val="756E5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6">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character" w:customStyle="1" w:styleId="7">
    <w:name w:val="指标解释黑体"/>
    <w:unhideWhenUsed/>
    <w:uiPriority w:val="99"/>
    <w:rPr>
      <w:rFonts w:hint="eastAsia" w:ascii="黑体" w:hAnsi="黑体" w:eastAsia="黑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1881</Words>
  <Characters>1881</Characters>
  <Lines>0</Lines>
  <Paragraphs>0</Paragraphs>
  <TotalTime>10</TotalTime>
  <ScaleCrop>false</ScaleCrop>
  <LinksUpToDate>false</LinksUpToDate>
  <CharactersWithSpaces>1881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2026-04-21T04:18:12Z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