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6076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420" w:afterAutospacing="0"/>
        <w:ind w:left="0" w:right="0"/>
        <w:jc w:val="center"/>
      </w:pPr>
      <w:r>
        <w:rPr>
          <w:rFonts w:ascii="HYShuSongYiJ" w:hAnsi="HYShuSongYiJ" w:eastAsia="HYShuSongYiJ" w:cs="HYShuSongYiJ"/>
          <w:color w:val="000000"/>
          <w:sz w:val="42"/>
          <w:szCs w:val="42"/>
        </w:rPr>
        <w:t>主要统计指标解释</w:t>
      </w:r>
    </w:p>
    <w:p w14:paraId="767172F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rPr>
          <w:rFonts w:hint="eastAsia"/>
        </w:rPr>
      </w:pPr>
      <w:r>
        <w:rPr>
          <w:rFonts w:hint="eastAsia"/>
        </w:rPr>
        <w:t>固定资产投资 是以货币形式表现的在一定时期内建造和购置固定资产的工作量以及与此有关的费用的总称。该指标是反映固定资产投资规模、结构和发展速度的综合性指标,又是观察工程进度和考核投资效果的重要依据。固定资产投资按登记注册类型可分为国有、集体、个体、联营、股份制、外商、港澳台商、其他等。固定资产投资统计口径为各种登记注册类型的法人单位及个体经营进行的计划总投资500万元及以上的建设项目投资。</w:t>
      </w:r>
    </w:p>
    <w:p w14:paraId="459A826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rPr>
          <w:rFonts w:hint="eastAsia"/>
        </w:rPr>
      </w:pPr>
      <w:r>
        <w:rPr>
          <w:rFonts w:hint="eastAsia"/>
        </w:rPr>
        <w:t>房地产开发投资 指各种登记注册类型的房地产开发法人单位统一开发的住宅、厂房、仓库、饭店、宾馆、度假村、写字楼、办公楼等房屋建筑物和配套的服务设施，土地开发工程（如道路、给水、排水、供电、供热、通信、平整场地等基础设施工程）和土地购置的投资；不包括单纯的土地开发和交易活动。</w:t>
      </w:r>
    </w:p>
    <w:p w14:paraId="44BBEB4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rPr>
          <w:rFonts w:hint="eastAsia"/>
        </w:rPr>
      </w:pPr>
      <w:r>
        <w:rPr>
          <w:rFonts w:hint="eastAsia"/>
        </w:rPr>
        <w:t>固定资产投资按国民经济行业分 根据建设项目建成投产后的主要产品或主要用途及社会经济活动性质来确定国民经济所属行业。一般情况下，一个建设项目或一个企业、事业单位只能属于一种国民经济行业。</w:t>
      </w:r>
    </w:p>
    <w:p w14:paraId="612169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rPr>
          <w:rFonts w:hint="eastAsia"/>
        </w:rPr>
      </w:pPr>
      <w:r>
        <w:rPr>
          <w:rFonts w:hint="eastAsia"/>
        </w:rPr>
        <w:t>固定资产投资按隶属关系分 是按调查单位的主管上级机关确定的。</w:t>
      </w:r>
    </w:p>
    <w:p w14:paraId="1CE7AE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rPr>
          <w:rFonts w:hint="eastAsia"/>
        </w:rPr>
      </w:pPr>
      <w:r>
        <w:rPr>
          <w:rFonts w:hint="eastAsia"/>
        </w:rPr>
        <w:t>（1）中央：是指中共中央、人大常委会和国务院各部、委、局、总公司以及直属机构直接领导的建设项目和企业、事业、行政单位。这些单位的固定资产投资计划由国务院各部门直接编制和下达，建设中所需物资、主要设备以及建设中的问题都由中央有关部门安排和解决。</w:t>
      </w:r>
    </w:p>
    <w:p w14:paraId="7A0844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rPr>
          <w:rFonts w:hint="eastAsia"/>
        </w:rPr>
      </w:pPr>
      <w:r>
        <w:rPr>
          <w:rFonts w:hint="eastAsia"/>
        </w:rPr>
        <w:t>（2）地方：是由省（自治区、直辖市）、地区（州、盟、省辖市）、县（旗、县级市）三级政府及业务主管部门直接领导和管理的建设项目、企业、事业、行政单位。地方项目还包括不隶属以上各级政府及主管部门的建设项目和企业、事业单位，如外商投资企业和无主管部门的企业等。</w:t>
      </w:r>
    </w:p>
    <w:p w14:paraId="0C55E5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rPr>
          <w:rFonts w:hint="eastAsia"/>
        </w:rPr>
      </w:pPr>
      <w:r>
        <w:rPr>
          <w:rFonts w:hint="eastAsia"/>
        </w:rPr>
        <w:t>固定资产投资按建设性质分 根据整个建设项目情况来确定。建设项目的性质一般分为新建、扩建、改建和技术改造、迁建、恢复等。</w:t>
      </w:r>
    </w:p>
    <w:p w14:paraId="096DCD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eastAsia"/>
        </w:rPr>
        <w:t>（1）新建：一般指从无到有开始建设的项目。现有企业、事业、行政单位一般不属于新建。但如有的单位原有基础很小，经过建设后新增的固定资产价值超过该企业、事业、行政单位原有固定资产价值（原值）三倍以上的也应作为新建。</w:t>
      </w:r>
    </w:p>
    <w:p w14:paraId="1891F0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（2）扩建：为扩大原有产品的生产能力</w:t>
      </w:r>
      <w:bookmarkStart w:id="0" w:name="_GoBack"/>
      <w:bookmarkEnd w:id="0"/>
      <w:r>
        <w:rPr>
          <w:rFonts w:hint="default" w:ascii="HYShuSongYiJ" w:hAnsi="HYShuSongYiJ" w:eastAsia="HYShuSongYiJ" w:cs="HYShuSongYiJ"/>
          <w:sz w:val="21"/>
          <w:szCs w:val="21"/>
        </w:rPr>
        <w:t>（或效益）或增加新的产品生产能力，而增建主要的生产车间（或主要工程）、分厂、独立的生产线。行政、事业单位在原单位增建业务用房（如学校增建教学用房、医院增建门诊部、病房等）也作为扩建。</w:t>
      </w:r>
    </w:p>
    <w:p w14:paraId="2C46DAF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现有调查单位为扩大原有主要产品生产能力或增加新的产品生产能力，增建一个或几个主要生产车间（或主要工程）、分厂，同时进行一些更新改造工程的，也应作为扩建。</w:t>
      </w:r>
    </w:p>
    <w:p w14:paraId="72B545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（3）改建和技术改造：指对原有设施进行技术改造或更新（包括相应配套的辅助性生产、生活福利设施） 的建设项目。调查单位为适应市场变化的需要，而改变企业的主要产品种类（如军工企业转产民用品等） 的建设项目，应作为改建。原有产品生产作业线由于各工序（车间）之间能力不平衡，为填平补齐充分发挥原有生产能力而增建不增加本企业主要产品设计能力的车间，也应作为改建。技术改造是指调查单位在现有基础上，用先进的技术代替落后的技术，用先进的工艺和装备代替落后的工艺和装备，以改变企业落后的技术经济面貌，实现以内涵为主的扩大再生产，达到提高产品质量、促进产品更新换代、节约能源、降低消耗、扩大生产规模、全面提高社会经济效益的目的。技术改造具体包括以下内容：机器设备和工具的更新改造；生产工艺改革、节约能源和原材料的改造；厂房建筑和公共设施的改造；保护环境进行的“三废”治理改造；劳动条件和生产环境的改造等。</w:t>
      </w:r>
    </w:p>
    <w:p w14:paraId="143AC4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固定资产投资按构成分 固定资产投资活动按其工作内容及其实现方式分为建筑工程，安装工程，设备、工具、器具购置，其他费用四个部分。</w:t>
      </w:r>
    </w:p>
    <w:p w14:paraId="5284748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1）建筑工程：指各种房屋、建筑物的建造工程，又称建筑工作量。包括各种房屋建造工程；各种用途设备基础和各种工业窑炉的砌筑工程及金属结构工程；为施工而进行的各种准备工作和临时工程以及完工后的清理工作等；铁路、道路的铺设，矿井的开凿及石油管道的架设等；水利工程；防空地下建筑等特殊工程；列入房屋工程预算内的暖气、卫生、通风、照明、煤气等设备的价值及装设油饰工程；列入建筑工程预算内的各种管道（蒸汽、压缩空气、石油、给排水等管道）、电力、电讯电缆导线等的敷设工程；房地产开发单位进行的商品房屋开发建设工程、土地开发工程。</w:t>
      </w:r>
    </w:p>
    <w:p w14:paraId="4349D7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2）安装工程：指各种设备、装置的安装工程，又称安装工作量。包括各种需要安装设备的装配和安装，与设备相连的装设工程及附属于被安装设备的其他工程；为测定安装工程质量，对设备进行的试运工作。但不包括被安装设备本身的价值。</w:t>
      </w:r>
    </w:p>
    <w:p w14:paraId="32EE41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3）设备、工具、器具购置：指报告期内购置或自制的，达到固定资产标准的设备、工具、器具的价值。新建单位及扩建单位的新建车间，按照设计或计划要求购置或自制的全部设备、工具、器具，不论是否达到固定资产标准均计入“设备、工具、器具购置”中。</w:t>
      </w:r>
    </w:p>
    <w:p w14:paraId="5FE766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（4）其他费用：指在固定资产建造和购置过程中发生的，除上述几项内容以外的各种应分摊计入固定资产的费用。</w:t>
      </w:r>
    </w:p>
    <w:p w14:paraId="7C186A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新增固定资产 指在报告期已经完成建造和购置过程，并已交付生产或使用单位的固定资产的价值。包括已经建成投入生产或交付使用的工程投资和达到固定资产标准的设备、工具、器具的投资及有关应摊入的费用。属于增加固定资产价值的其他建设费用，应随同交付使用的工程一并计入新增固定资产。</w:t>
      </w:r>
    </w:p>
    <w:p w14:paraId="57336B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施工房屋面积 指报告期内施工的全部房屋建筑面积。包括本期新开工的面积和上期开工跨入本期继续施工的房屋面积，以及上期已停缓建在本期复工的房屋面积。本期竣工和本期施工后又停缓建的房屋，其建筑面积仍计入本期施工房屋面积中。</w:t>
      </w:r>
    </w:p>
    <w:p w14:paraId="748753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房屋新开工面积 指报告期内新开工的全部房屋建筑面积，以单位工程为核算对象。房屋新开工面积指整栋房屋的全部建筑面积，不能分割计算。</w:t>
      </w:r>
    </w:p>
    <w:p w14:paraId="22C026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竣工房屋面积 指在报告期内房屋建筑按照设计要求已全部完工，达到住人和使用条件，经验收鉴定合格（或达到竣工验收标准），可正式移交使用的各栋房屋建筑面积的总和。</w:t>
      </w:r>
    </w:p>
    <w:p w14:paraId="2BC0B36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竣工房屋价值 指在报告期内竣工房屋本身的建造价值。竣工房屋价值按房屋设计和预算规定的内容计算。</w:t>
      </w:r>
    </w:p>
    <w:p w14:paraId="68DBA1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施工项目 指报告期内进行过建筑或安装施工活动的项目。凡是报告期内施过工的建设项目，不论施工时间长短，均作为施工项目统计。施工项目个数可以反映一定时期固定资产投资的实际规模，与同期全部建成投产项目个数相比，可以从建设速度的角度反映固定资产投资的效果。</w:t>
      </w:r>
    </w:p>
    <w:p w14:paraId="0A808EA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全部建成投产项目 报告期内按设计文件规定建成主体工程和相应配套的辅助设施，形成生产能力或工程效益，经验收合格，并且已正式投入生产或交付使用的建设项目。</w:t>
      </w:r>
    </w:p>
    <w:p w14:paraId="32185DD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新增生产能力 指通过固定资产投资活动而增加的设计能力或工程效益,它是用实物形态表示的固定资产投资的成果。新增生产能力的计算,是以能独立发挥生产能力或效益的工程为对象。当工程建成,经有关部门鉴定合格,正式移交投入生产,即可计算新增生产能力。</w:t>
      </w:r>
    </w:p>
    <w:p w14:paraId="053624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固定资产投资的资金来源 根据固定资产投资的资金来源不同,分为上年末结余资金和本年资金来源。其中本年资金来源又分为六种：</w:t>
      </w:r>
    </w:p>
    <w:p w14:paraId="624DA7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（1）国家预算资金包括中央预算资金和地方预算资金。</w:t>
      </w:r>
    </w:p>
    <w:p w14:paraId="46E6E8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2）国内贷款指报告期固定资产投资项目单位向银行及非银行金融机构借入的用于固定资产投资的各种国内借款。包括银行利用自有资金及吸收的存款发放的贷款、上级主管部门拨入的国内贷款、国家专项贷款（包括煤代油贷款、劳改煤矿专项贷款等），地方财政专项资金安排的贷款、国内储备贷款、周转贷款等。银行贷款、非银行金融机构贷款等。</w:t>
      </w:r>
    </w:p>
    <w:p w14:paraId="3FCB8A3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（3）债券指企业或金融机构为筹集用于固定资产投资的资金向投资者出具的承诺按一定发行条件还本付息的债务凭证，包括金融债券和企业债券。</w:t>
      </w:r>
    </w:p>
    <w:p w14:paraId="2DA36B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4）利用外资指报告期收到的用于固定资产建造和购置投资的境外资金（包括设备、材料、技术在内）。计算利用外资时，需要折算成人民币，折算中所使用的外汇汇率按现汇计算，即按使用外汇时的汇率计算。</w:t>
      </w:r>
    </w:p>
    <w:p w14:paraId="4ADF46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（5）自筹资金指在报告期内筹集的用于项目建设和购置的资金。包括自有资金、股东投入资金和借入资金，但不包括各类财政性资金、从各类金融机构借入资金和国外资金。</w:t>
      </w:r>
    </w:p>
    <w:p w14:paraId="71D27FB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ind w:left="0" w:right="0"/>
      </w:pPr>
      <w:r>
        <w:rPr>
          <w:rFonts w:hint="default" w:ascii="HYShuSongYiJ" w:hAnsi="HYShuSongYiJ" w:eastAsia="HYShuSongYiJ" w:cs="HYShuSongYiJ"/>
          <w:sz w:val="21"/>
          <w:szCs w:val="21"/>
        </w:rPr>
        <w:t>（6）其他资金来源指在报告期收到的除以上各种资金之外其他用于固定资产投资的资金。包括社会集资、个人资金、无偿捐赠的资金及其他单位拨入的资金等。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YShuSongYiJ">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dobe 宋体 Std L">
    <w:panose1 w:val="02020300000000000000"/>
    <w:charset w:val="86"/>
    <w:family w:val="auto"/>
    <w:pitch w:val="default"/>
    <w:sig w:usb0="00000001" w:usb1="0A0F1810" w:usb2="00000016" w:usb3="00000000" w:csb0="00060007" w:csb1="00000000"/>
  </w:font>
  <w:font w:name="方正书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4352BF9"/>
    <w:rsid w:val="2F14644E"/>
    <w:rsid w:val="53F03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olor w:val="000000"/>
      <w:sz w:val="24"/>
      <w:szCs w:val="24"/>
      <w:lang w:val="zh-CN"/>
    </w:rPr>
  </w:style>
  <w:style w:type="paragraph" w:customStyle="1" w:styleId="6">
    <w:name w:val="指标解释正文"/>
    <w:basedOn w:val="2"/>
    <w:unhideWhenUsed/>
    <w:uiPriority w:val="99"/>
    <w:pPr>
      <w:keepNext/>
      <w:keepLines/>
      <w:spacing w:before="0" w:beforeLines="0" w:after="0" w:afterLines="0" w:line="366" w:lineRule="atLeast"/>
      <w:ind w:firstLine="420"/>
      <w:jc w:val="both"/>
    </w:pPr>
    <w:rPr>
      <w:rFonts w:hint="eastAsia" w:ascii="方正书宋_GBK" w:hAnsi="方正书宋_GBK" w:eastAsia="方正书宋_GBK"/>
      <w:sz w:val="21"/>
      <w:szCs w:val="24"/>
    </w:rPr>
  </w:style>
  <w:style w:type="character" w:customStyle="1" w:styleId="7">
    <w:name w:val="指标解释黑体"/>
    <w:unhideWhenUsed/>
    <w:uiPriority w:val="99"/>
    <w:rPr>
      <w:rFonts w:hint="eastAsia" w:ascii="黑体" w:hAnsi="黑体" w:eastAsia="黑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2850</Words>
  <Characters>2852</Characters>
  <Lines>0</Lines>
  <Paragraphs>0</Paragraphs>
  <TotalTime>0</TotalTime>
  <ScaleCrop>false</ScaleCrop>
  <LinksUpToDate>false</LinksUpToDate>
  <CharactersWithSpaces>2854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2026-02-02T09:29:00Z</dcterms:created>
  <dc:creator>HW</dc:creator>
  <cp:lastModifiedBy>天露微曦</cp:lastModifiedBy>
  <dcterms:modified xsi:type="dcterms:W3CDTF">2026-04-21T08:30:07Z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2EAE4BDA1C184C1AA3F3E475EC810880_12</vt:lpwstr>
  </property>
</Properties>
</file>