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8E46E9">
      <w:pPr>
        <w:pStyle w:val="5"/>
        <w:spacing w:beforeLines="0" w:after="425" w:afterLines="0"/>
        <w:jc w:val="center"/>
        <w:rPr>
          <w:rFonts w:hint="eastAsia" w:ascii="方正大标宋_GBK" w:hAnsi="方正大标宋_GBK" w:eastAsia="方正大标宋_GBK"/>
          <w:sz w:val="24"/>
        </w:rPr>
      </w:pPr>
      <w:r>
        <w:rPr>
          <w:rFonts w:hint="eastAsia"/>
          <w:lang w:val="en-US" w:eastAsia="zh-CN"/>
        </w:rPr>
        <w:tab/>
      </w:r>
      <w:r>
        <w:rPr>
          <w:rFonts w:hint="eastAsia" w:ascii="方正大标宋_GBK" w:hAnsi="方正大标宋_GBK" w:eastAsia="方正大标宋_GBK"/>
          <w:sz w:val="42"/>
        </w:rPr>
        <w:t>主要统计指标解释</w:t>
      </w:r>
    </w:p>
    <w:p w14:paraId="4718350C">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工业 指从事自然资源的开采，对采掘品和农产品进行加工和再加工的物质生产部门。具体包括：</w:t>
      </w:r>
    </w:p>
    <w:p w14:paraId="0BFB239B">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1. 对自然资源的开采，如采矿、晒盐等(但不包括禽兽捕猎和水产捕捞)</w:t>
      </w:r>
    </w:p>
    <w:p w14:paraId="4FF9D0B9">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2. 对农副产品的加工、再加工，如粮油加工、食品加工、缫丝、纺织、制革等；</w:t>
      </w:r>
    </w:p>
    <w:p w14:paraId="6B920CF7">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3. 对采掘品的加工、再加工，如炼铁、炼钢、化工生产、石油加工、机器制造、木材加工等，以及电力、燃气及水的生产和供应等。</w:t>
      </w:r>
    </w:p>
    <w:p w14:paraId="7519D7DB">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4. 对工业品的修理、翻新，如机器设备的修理等。</w:t>
      </w:r>
    </w:p>
    <w:p w14:paraId="0DD7A129">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1984年以前农村的村及村以下办工业归属农业，1984年及以后划归工业。</w:t>
      </w:r>
    </w:p>
    <w:p w14:paraId="4DB4E17A">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工业统计调查单位为工业法人单位。</w:t>
      </w:r>
    </w:p>
    <w:p w14:paraId="0336EBD8">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工业法人单位 指从事工业生产经营活动的法人单位。工业法人单位应同时具备以下条件：①依法成立，有自己的名称、组织机构和场所，能够独立承担民事责任；②独立拥有（或授权）使用资产，承担负债，有权与其他单位签订合同；③具有包括资产负债表在内的账户，或者能够根据需要编制账户。</w:t>
      </w:r>
    </w:p>
    <w:p w14:paraId="1AB63E68">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规模以上工业 从2011年开始，为年主营业务收入2000万元及以上的工业法人单位。</w:t>
      </w:r>
    </w:p>
    <w:p w14:paraId="029BDA8A">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国有企业 指企业全部资产归国家所有，并按《中华人民共和国企业法人登记管理条例》规定登记注册的非公司制的经济组织。不包括有限责任公司中的国有独资公司。</w:t>
      </w:r>
    </w:p>
    <w:p w14:paraId="1FE01551">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集体企业 指企业资产归集体所有，并按《中华人民共和国企业法人登记管理条例》规定登记注册的经济组织。</w:t>
      </w:r>
    </w:p>
    <w:p w14:paraId="760429AF">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股份合作企业 指以合作制为基础，由企业职工共同出资入股，吸收一定比例的社会资产投资组建，实行自主经营，自负盈亏，共同劳动，民主管理，按劳分配与按股分红相结合的一种集体经济组织。</w:t>
      </w:r>
    </w:p>
    <w:p w14:paraId="05421202">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股份制企业 指两个或两个以上的利益主体，以集股经营的方式自愿结合的一种企业组织形式。</w:t>
      </w:r>
    </w:p>
    <w:p w14:paraId="6FC54763">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其他企业 指上述企业之外的其他内资经济组织。</w:t>
      </w:r>
    </w:p>
    <w:p w14:paraId="5EE18D19">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港澳台商投资企业 是指港、澳、台地区投资者依照中国法律，以合资、合作或独资的形式在内地开办的企业。</w:t>
      </w:r>
    </w:p>
    <w:p w14:paraId="6BB8FC71">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外商投资企业 是指外国投资者根据中华人民共和国有关涉外经济的法律、法规，以合资、合作或独资的形式在中国内地开办企业而形成的一种经济组织。</w:t>
      </w:r>
    </w:p>
    <w:p w14:paraId="241A6EF3">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大、中、小和微型企业 企业规模的划分标准执行《统计上大中小微型企业划分办法（2017）》，按照企业从业人员、主营业务收入，将企业划分为大型、中型、小型和微型。</w:t>
      </w:r>
    </w:p>
    <w:p w14:paraId="3FC925F0">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工业总产值 指工业企业在报告期内生产的以货币形式表现的工业最终产品和提供工业劳务活动的总价值量。它包括：在本企业内不再进行加工，经检验、包装入库的成品价值、对外加工费收入、自制半成品、在制品期末期初差额价值。工业总产值采用“工厂法”计算，即以工业企业作为一个整体，按企业工业生产活动的最终成果计算，企业内部不允许重复计算，不能把企业内部各个车间（分厂）生产的成果相加。但在企业之间、行业之间、地区之间存在重复计算。</w:t>
      </w:r>
    </w:p>
    <w:p w14:paraId="19640308">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工业总产值计算遵循以下规定：</w:t>
      </w:r>
    </w:p>
    <w:p w14:paraId="126E7EC7">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1.凡用自备原材料生产的产品，不论其加工的繁简程度如何，一律按全价，即工业总产值包括自备原材料的价值。</w:t>
      </w:r>
    </w:p>
    <w:p w14:paraId="0B3F9CF2">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2.凡承接来料加工生产的产品，加工企业只收取加工费，加工企业一律按财务上结算的加工费计算工业总产值，即不包括订货者来料的价值。</w:t>
      </w:r>
    </w:p>
    <w:p w14:paraId="0AFFB302">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3. 自制半成品、在制品期末期初差额价值，原则上应计入工业总产值，但如果会计产品成本核算中不计算自制半成品、在制品成本，则不计入工业总产值；如果会计产品成本核算中计算自制半成品、在制品成本的，则计入工业总产值。</w:t>
      </w:r>
    </w:p>
    <w:p w14:paraId="34276AEF">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4. 成品价值按成品实物量乘以报告期不含应交增值税（销项税额）的产品实际销售平均单价计算。</w:t>
      </w:r>
    </w:p>
    <w:p w14:paraId="3190EDC0">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资产总计 指企业过去的交易或者事项形成的、由企业拥有或者控制的、预期会给企业带来经济利益的资源。资产一般按流动性分为流动资产和非流动资产。其中流动资产可分为货币资金、交易性金融资产、应收票据、应收账款、预付款项、其他应收款、存货等；非流动资产可分为长期股权投资、固定资产、无形资产及其他非流动资产等。</w:t>
      </w:r>
    </w:p>
    <w:p w14:paraId="6C7C23E7">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全员劳动生产率 指根据产品的价值量指标的平均每一职工在单位时间内的产品生产量。目前我国的全员劳动生产率是用工业总产值或工业增加值除以同一时期全部职工的平均人数来计算的。计算公式为：</w:t>
      </w:r>
    </w:p>
    <w:p w14:paraId="669F3794">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全员劳动生产率=工业总产值/全部职工平均人数×12/累计月份</w:t>
      </w:r>
    </w:p>
    <w:p w14:paraId="79438528">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或=工业增加值/全部职工平均人数×12/累计月份</w:t>
      </w:r>
    </w:p>
    <w:p w14:paraId="220AAE40">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工业产品销售率 指报告期工业销售产值与同期全部工业总产值之比，反映工业产品生产已实现销售的程度。计算公式为：</w:t>
      </w:r>
    </w:p>
    <w:p w14:paraId="7DED2800">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工业产品销售率（%）=报告期现价工业销售产值/报告期现价工业总产值×100%</w:t>
      </w:r>
    </w:p>
    <w:p w14:paraId="0B8B10D9">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工业成本费用利润率 指报告期实现利润总额与成本费用之比，反映降低成本的经济效益。计算公式为。</w:t>
      </w:r>
    </w:p>
    <w:p w14:paraId="7689C840">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工业成本费用利润率（%）=报告期实现利润总额/报告期成本费用总额×100%</w:t>
      </w:r>
    </w:p>
    <w:p w14:paraId="7AF164FB">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成本费用是产品销售成本、产品销售费用、管理费用、财务费用之和</w:t>
      </w:r>
    </w:p>
    <w:p w14:paraId="40233146">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流动资产周转率 指一定时期内流动资产完成的周转次数,反映流动资产的周转速度。计算公式为：</w:t>
      </w:r>
    </w:p>
    <w:p w14:paraId="48A595F4">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流动资产周转率=报告期止累计产品销售收入/报告期平均流动资产×12/累计月数</w:t>
      </w:r>
    </w:p>
    <w:p w14:paraId="76DD6739">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资产负债率 又称债务比率，该比率反映在企业资产总额中有多少资产是通过借债而得到的。是反映企业长期偿债能力的指标之一，也可以用于衡量企业利用债权人提供资金进行经营活动的能力以及企业在清算时保护债权人利益的程度。计算公式为：</w:t>
      </w:r>
    </w:p>
    <w:p w14:paraId="0C85CFF8">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资产负债率=负债总额÷资产总额×100%</w:t>
      </w:r>
    </w:p>
    <w:p w14:paraId="28681E11">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总资产贡献率 是反映全部资产的获利能力，是企业管理水平和经营业绩的集中体现。计算公式为：</w:t>
      </w:r>
    </w:p>
    <w:p w14:paraId="0AF1BDEA">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 xml:space="preserve">总资产贡献率（%）=利润总额＋利息支出/平均资产总额×12/累计月数×100% </w:t>
      </w:r>
    </w:p>
    <w:p w14:paraId="1E766BC1">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平均资产总额为资产总计期初、期末之和的算术平均值。即：</w:t>
      </w:r>
    </w:p>
    <w:p w14:paraId="7CDC519E">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平均资产总额=（期初资产总额＋期末资产总额）÷2</w:t>
      </w:r>
    </w:p>
    <w:p w14:paraId="10B6A81D">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资本保值增值率 反映企业资产的变动状况，是企业发展能力的集中体现。计算公式为：</w:t>
      </w:r>
    </w:p>
    <w:p w14:paraId="1408EF31">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资产保值增值率（%）= 期末所有者权益/期初所有者权益×100%</w:t>
      </w:r>
    </w:p>
    <w:p w14:paraId="1E7373E9">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能源生产总量 指一定时期内全国（地区）一次能源生产量的总和，是观察全国（地区）能源生产水平、规模、过程构成和发展速度的总量指标。一次能源生产量包括原煤、原油、天然气、水电、核电及其他动力能（如风能、地热能等）发电量，不包括低热值燃料生产量、太阳热能等的利用和由一次能源加工转换而成的二次能源产量。</w:t>
      </w:r>
    </w:p>
    <w:p w14:paraId="37913993">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能源消费总量 指一定时期内全国（地区）国民经济各行业和居民家庭在一定时期消费的各种能源的总和。能源消费总量分为三部分，即终端能源消费量、能源加工转换损失量和能源损失量。</w:t>
      </w:r>
    </w:p>
    <w:p w14:paraId="4D13EB78">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1. 终端能源消费量 指一定时期内全国（地区）各行业和居民生活消费的各种能源数量在扣除了用于加工转换二次能源消费量和损失量以后的数量。</w:t>
      </w:r>
    </w:p>
    <w:p w14:paraId="14E40FAE">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2. 能源加工转换损失量 指一定时期内全国（地区）投入加工转换的各种能源数量之和与产出各种能源产品之和的差额。它是观察能源在加工转换过程中损失量变化的指标。</w:t>
      </w:r>
    </w:p>
    <w:p w14:paraId="0D2A63F7">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3 .能源损失量 指一定时期内能源在输送、分配、储存过程中发生的损失和由客观原因造成的各种损失量。不包括各种气体能源放空、放散量。</w:t>
      </w:r>
    </w:p>
    <w:p w14:paraId="662935E5">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能源生产弹性系数 是研究能源生产增长速度与国民经济增长速度之间的关系的指标。其计算公式为：</w:t>
      </w:r>
    </w:p>
    <w:p w14:paraId="3038C275">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能源生产弹性系数=能源生产总量年平均增长速度/国民经济年平均增长速度</w:t>
      </w:r>
    </w:p>
    <w:p w14:paraId="12B2CAEC">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国民经济年平均增长速度,可根据不同的目的或需要,用工农业总产值、生产总值等指标来计算，本资料是采用生产总值指标计算的。</w:t>
      </w:r>
    </w:p>
    <w:p w14:paraId="22BC60B8">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电力生产弹性系数 是研究电力生产增长速度与国民经济增长速度之间关系的指标。计算公式为：</w:t>
      </w:r>
    </w:p>
    <w:p w14:paraId="79ADB691">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电力生产弹性系数=电力生产量年平均增长速度/国民经济年平均增长速度</w:t>
      </w:r>
    </w:p>
    <w:p w14:paraId="43EF5FCC">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能源消费弹性系数 是反映能源消费增长速度与国民经济增长速度之间比例关系的指标。计算公式为：</w:t>
      </w:r>
    </w:p>
    <w:p w14:paraId="08D64D87">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能源消费弹性系数=能源消费总量年平均增长速度/国民经济年平均增长速度</w:t>
      </w:r>
    </w:p>
    <w:p w14:paraId="2915A5B8">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能源节约量 指在满足相等需求，达到相等目标的条件下节约和少用的能源数量。它是评价和考核节约能源工作好坏的重要指标。包括由于提高管理水平和技术水平，使单位产品能耗降低而节约能源的数量，以及由于调整产业结构、产品结构等使产值能耗降低而少用的能源数量。</w:t>
      </w:r>
    </w:p>
    <w:p w14:paraId="74A2CA02">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能源节约率 是反映能源节约程度的综合性指标。能源节约率一般按年计算，如果要研究一个时期内能源节约程度的一般水平，可计算平均能源节约率指标。计算公式为：</w:t>
      </w:r>
    </w:p>
    <w:p w14:paraId="419974C0">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能源节约率=（报告期单位能源消费量/基期单位能源消费量－1）×100%</w:t>
      </w:r>
    </w:p>
    <w:p w14:paraId="21C922AB">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年平均节能率=（n报告期单位能源消费量/基期单位能源消费源-1）×100%</w:t>
      </w:r>
    </w:p>
    <w:p w14:paraId="3E9D9446">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公式中：单位能源消费量可以按生产总值、国民收入或工业总产值等计算</w:t>
      </w:r>
    </w:p>
    <w:p w14:paraId="4CCF53BF">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n 为基期与报告期间隔的年份数。</w:t>
      </w:r>
    </w:p>
    <w:p w14:paraId="67AA242C">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能源加工转换效率 指一定时期内能源经过加工转换后，产出的各种能源产品的数量与投入加工转换的各种能源数量的比率。它是观察能源加工转换装置和生产工艺先进与落后、管理水平高低等的重要指标。</w:t>
      </w:r>
    </w:p>
    <w:p w14:paraId="40B6514F">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计算公式：</w:t>
      </w:r>
    </w:p>
    <w:p w14:paraId="525703A0">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能源加工转换效率＝加工转换产出量/加工转换投入量×100%</w:t>
      </w:r>
    </w:p>
    <w:p w14:paraId="2CF975E0">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能源折算标准 各种能源由于原始计算单位不同,热值也不一样。因此,必须折算成同一标准计算单位，才能进行汇总、对比和分析。国际上习惯采用两种标准计算单位：一种为标准煤，另一种为标准油。目前我国采用标准煤为能源的计算单位。标准煤亦称煤当量，就是将不同品种、不同含热量的能源按各自不同的含热量折合成为一种标准含量的统一计量单位的能源。各类能源折算标准煤是按1 公斤标准煤的热值为7000 千卡进行折算的。</w:t>
      </w:r>
    </w:p>
    <w:p w14:paraId="3DF17CEB">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当量热值 热值又称理论热值（或实际发热值），是指某种能源一个度量单位本身所含热量。其热值的计算可根据试样在充氧的弹筒中（放有浸没氧弹的水的容器）完全燃烧所放出的热量（用燃烧后水温升高计算出来的）进行实测。</w:t>
      </w:r>
    </w:p>
    <w:p w14:paraId="6FEABF51">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等价热值 是指加工转换产出的某种二次能源与相应投入的一次能源的当量，即获得一个度量单位的某种二次能源所消耗的，以热值表示的一次能源量。也就是消耗一个度量单位的某种二次能源，就等价于消耗了以热值表示的一次能源量。等价热值是个变动值，随着能源加工转换工艺的提高和能源管理工作的加强，转换损失逐渐减少，等价热值会不断降低。等价热值是对二次能源及消耗工质而言，因此一次能源不存在折算问题，因此也无所谓等价热值。</w:t>
      </w:r>
    </w:p>
    <w:p w14:paraId="27D67ED4">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等价热值=二次能源具有的能量÷转换效率</w:t>
      </w:r>
    </w:p>
    <w:p w14:paraId="3C4BB7DA">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转换效率=二次能源产出标准量÷加工转换投入能源标准量</w:t>
      </w:r>
    </w:p>
    <w:p w14:paraId="0BC25BA1">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原材料、能源消费量 指在报告期内实际使用的原材料、能源的数量，包括企业主营活动和附营活动实际使用的数量。消费的核算原则为 “谁消费谁统计”，即按使用权来统计。核算方法为当进入第一道生产工序，改变原来的形态或性能或已实际投入使用，即作消费统计。</w:t>
      </w:r>
    </w:p>
    <w:p w14:paraId="2FEA58C2">
      <w:pPr>
        <w:pStyle w:val="5"/>
        <w:spacing w:beforeLines="0" w:afterLines="0"/>
        <w:rPr>
          <w:rFonts w:hint="default" w:ascii="Times New Roman" w:hAnsi="Times New Roman" w:eastAsia="Times New Roman"/>
          <w:b/>
          <w:sz w:val="30"/>
        </w:rPr>
      </w:pPr>
      <w:r>
        <w:rPr>
          <w:rFonts w:hint="eastAsia" w:ascii="方正书宋_GBK" w:hAnsi="方正书宋_GBK" w:eastAsia="方正书宋_GBK"/>
          <w:spacing w:val="2"/>
          <w:sz w:val="21"/>
        </w:rPr>
        <w:t>原材料、能源库存量 指在报告期期初、期末实际结存的原材料、能源数量。库存的核算原则为“谁支配，谁统计”，即按所有权来统计。核算方法是指企业有权支配动用的某一时点实际结存的原材料、能源的数量。</w:t>
      </w:r>
    </w:p>
    <w:p w14:paraId="66586208">
      <w:pPr>
        <w:pStyle w:val="5"/>
        <w:spacing w:beforeLines="0" w:afterLines="0"/>
        <w:rPr>
          <w:rFonts w:hint="default" w:ascii="Times New Roman" w:hAnsi="Times New Roman" w:eastAsia="Times New Roman"/>
          <w:b/>
          <w:sz w:val="30"/>
        </w:rPr>
      </w:pPr>
    </w:p>
    <w:p w14:paraId="3F33BF39">
      <w:pPr>
        <w:pStyle w:val="5"/>
        <w:spacing w:beforeLines="0" w:afterLines="0"/>
        <w:rPr>
          <w:rFonts w:hint="default" w:ascii="Times New Roman" w:hAnsi="Times New Roman" w:eastAsia="Times New Roman"/>
          <w:b/>
          <w:sz w:val="30"/>
        </w:rPr>
      </w:pPr>
    </w:p>
    <w:p w14:paraId="2F1B3ED6">
      <w:pPr>
        <w:pStyle w:val="5"/>
        <w:spacing w:beforeLines="0" w:afterLines="0"/>
        <w:rPr>
          <w:rFonts w:hint="default" w:ascii="Times New Roman" w:hAnsi="Times New Roman" w:eastAsia="Times New Roman"/>
          <w:b/>
          <w:sz w:val="30"/>
        </w:rPr>
      </w:pPr>
    </w:p>
    <w:p w14:paraId="06D5F763">
      <w:pPr>
        <w:pStyle w:val="5"/>
        <w:spacing w:beforeLines="0" w:afterLines="0"/>
        <w:rPr>
          <w:rFonts w:hint="default" w:ascii="Times New Roman" w:hAnsi="Times New Roman" w:eastAsia="Times New Roman"/>
          <w:b/>
          <w:sz w:val="30"/>
        </w:rPr>
      </w:pPr>
    </w:p>
    <w:p w14:paraId="4C3BA7C8">
      <w:pPr>
        <w:pStyle w:val="5"/>
        <w:spacing w:beforeLines="0" w:afterLines="0"/>
        <w:rPr>
          <w:rFonts w:hint="default" w:ascii="Times New Roman" w:hAnsi="Times New Roman" w:eastAsia="Times New Roman"/>
          <w:b/>
          <w:sz w:val="30"/>
        </w:rPr>
      </w:pPr>
    </w:p>
    <w:p w14:paraId="48720108">
      <w:pPr>
        <w:pStyle w:val="5"/>
        <w:spacing w:beforeLines="0" w:afterLines="0"/>
        <w:rPr>
          <w:rFonts w:hint="default" w:ascii="Times New Roman" w:hAnsi="Times New Roman" w:eastAsia="Times New Roman"/>
          <w:b/>
          <w:sz w:val="30"/>
        </w:rPr>
      </w:pPr>
    </w:p>
    <w:p w14:paraId="3C90CA71">
      <w:pPr>
        <w:pStyle w:val="5"/>
        <w:spacing w:beforeLines="0" w:afterLines="0"/>
        <w:rPr>
          <w:rFonts w:hint="default" w:ascii="Times New Roman" w:hAnsi="Times New Roman" w:eastAsia="Times New Roman"/>
          <w:b/>
          <w:sz w:val="30"/>
        </w:rPr>
      </w:pPr>
    </w:p>
    <w:p w14:paraId="393EF81C">
      <w:pPr>
        <w:pStyle w:val="5"/>
        <w:spacing w:beforeLines="0" w:afterLines="0"/>
        <w:rPr>
          <w:rFonts w:hint="default" w:ascii="Times New Roman" w:hAnsi="Times New Roman" w:eastAsia="Times New Roman"/>
          <w:b/>
          <w:sz w:val="30"/>
        </w:rPr>
      </w:pPr>
    </w:p>
    <w:p w14:paraId="1CAA3957">
      <w:pPr>
        <w:pStyle w:val="5"/>
        <w:spacing w:beforeLines="0" w:afterLines="0"/>
        <w:rPr>
          <w:rFonts w:hint="default" w:ascii="Times New Roman" w:hAnsi="Times New Roman" w:eastAsia="Times New Roman"/>
          <w:b/>
          <w:sz w:val="30"/>
        </w:rPr>
      </w:pPr>
    </w:p>
    <w:p w14:paraId="575E564B">
      <w:pPr>
        <w:pStyle w:val="5"/>
        <w:spacing w:beforeLines="0" w:afterLines="0"/>
        <w:rPr>
          <w:rFonts w:hint="default" w:ascii="Times New Roman" w:hAnsi="Times New Roman" w:eastAsia="Times New Roman"/>
          <w:b/>
          <w:sz w:val="30"/>
        </w:rPr>
      </w:pPr>
    </w:p>
    <w:p w14:paraId="4C80CE64">
      <w:pPr>
        <w:pStyle w:val="5"/>
        <w:spacing w:beforeLines="0" w:afterLines="0"/>
        <w:rPr>
          <w:rFonts w:hint="default" w:ascii="Times New Roman" w:hAnsi="Times New Roman" w:eastAsia="Times New Roman"/>
          <w:b/>
          <w:sz w:val="30"/>
        </w:rPr>
      </w:pPr>
    </w:p>
    <w:p w14:paraId="06BF5ADE">
      <w:pPr>
        <w:pStyle w:val="5"/>
        <w:spacing w:beforeLines="0" w:afterLines="0"/>
        <w:rPr>
          <w:rFonts w:hint="default" w:ascii="Times New Roman" w:hAnsi="Times New Roman" w:eastAsia="Times New Roman"/>
          <w:b/>
          <w:sz w:val="30"/>
        </w:rPr>
      </w:pPr>
    </w:p>
    <w:p w14:paraId="1C3CB293">
      <w:pPr>
        <w:pStyle w:val="5"/>
        <w:spacing w:beforeLines="0" w:afterLines="0"/>
        <w:rPr>
          <w:rFonts w:hint="default" w:ascii="Times New Roman" w:hAnsi="Times New Roman" w:eastAsia="Times New Roman"/>
          <w:b/>
          <w:sz w:val="30"/>
        </w:rPr>
      </w:pPr>
    </w:p>
    <w:p w14:paraId="6A12ACE3">
      <w:pPr>
        <w:pStyle w:val="5"/>
        <w:spacing w:beforeLines="0" w:afterLines="0"/>
        <w:rPr>
          <w:rFonts w:hint="default" w:ascii="Times New Roman" w:hAnsi="Times New Roman" w:eastAsia="Times New Roman"/>
          <w:b/>
          <w:sz w:val="30"/>
        </w:rPr>
      </w:pPr>
    </w:p>
    <w:p w14:paraId="21AE4501">
      <w:pPr>
        <w:pStyle w:val="5"/>
        <w:spacing w:beforeLines="0" w:after="425" w:afterLines="0"/>
        <w:rPr>
          <w:rFonts w:hint="default" w:ascii="Times New Roman" w:hAnsi="Times New Roman" w:eastAsia="Times New Roman"/>
          <w:sz w:val="24"/>
        </w:rPr>
      </w:pPr>
      <w:r>
        <w:rPr>
          <w:rFonts w:hint="default" w:ascii="Times New Roman" w:hAnsi="Times New Roman" w:eastAsia="Times New Roman"/>
          <w:b/>
          <w:sz w:val="30"/>
        </w:rPr>
        <w:t>Explanatory Notes on Main Statistical Indicators</w:t>
      </w:r>
    </w:p>
    <w:p w14:paraId="32E8D664">
      <w:pPr>
        <w:pStyle w:val="6"/>
        <w:spacing w:beforeLines="0" w:afterLines="0"/>
        <w:rPr>
          <w:rFonts w:hint="eastAsia"/>
          <w:sz w:val="21"/>
          <w:szCs w:val="24"/>
        </w:rPr>
      </w:pPr>
      <w:r>
        <w:rPr>
          <w:rFonts w:hint="default" w:ascii="Times New Roman" w:hAnsi="Times New Roman" w:eastAsia="Times New Roman"/>
          <w:b/>
          <w:sz w:val="21"/>
          <w:szCs w:val="24"/>
        </w:rPr>
        <w:t>Industry</w:t>
      </w:r>
      <w:r>
        <w:rPr>
          <w:rFonts w:hint="eastAsia"/>
          <w:sz w:val="21"/>
          <w:szCs w:val="24"/>
        </w:rPr>
        <w:t xml:space="preserve"> refers to the material production sector which is engaged in the extraction of natural resources and processing and reprocessing of minerals and agricultural products,including </w:t>
      </w:r>
    </w:p>
    <w:p w14:paraId="6688F0BF">
      <w:pPr>
        <w:pStyle w:val="6"/>
        <w:spacing w:beforeLines="0" w:afterLines="0"/>
        <w:rPr>
          <w:rFonts w:hint="eastAsia"/>
          <w:sz w:val="21"/>
          <w:szCs w:val="24"/>
        </w:rPr>
      </w:pPr>
      <w:r>
        <w:rPr>
          <w:rFonts w:hint="eastAsia"/>
          <w:sz w:val="21"/>
          <w:szCs w:val="24"/>
        </w:rPr>
        <w:t>1.Extraction of natural resources, such as mining, salt production, but not including hunting, fishing and logging;</w:t>
      </w:r>
    </w:p>
    <w:p w14:paraId="45B7F0C9">
      <w:pPr>
        <w:pStyle w:val="6"/>
        <w:spacing w:beforeLines="0" w:afterLines="0"/>
        <w:rPr>
          <w:rFonts w:hint="eastAsia"/>
          <w:sz w:val="21"/>
          <w:szCs w:val="24"/>
        </w:rPr>
      </w:pPr>
      <w:r>
        <w:rPr>
          <w:rFonts w:hint="eastAsia"/>
          <w:sz w:val="21"/>
          <w:szCs w:val="24"/>
        </w:rPr>
        <w:t xml:space="preserve">2.Processing and reprocessing of farm and sideline produces, such as rice husking, food processing, flour milling, wine making, oil pressing, cotton ginning, silk reeling, spinning and weaving, and leather making; </w:t>
      </w:r>
    </w:p>
    <w:p w14:paraId="1E396F38">
      <w:pPr>
        <w:pStyle w:val="6"/>
        <w:spacing w:beforeLines="0" w:afterLines="0"/>
        <w:rPr>
          <w:rFonts w:hint="eastAsia"/>
          <w:sz w:val="21"/>
          <w:szCs w:val="24"/>
        </w:rPr>
      </w:pPr>
      <w:r>
        <w:rPr>
          <w:rFonts w:hint="eastAsia"/>
          <w:sz w:val="21"/>
          <w:szCs w:val="24"/>
        </w:rPr>
        <w:t>3.Manufacturing of extracted products, such as steel making, iron smelting, chemicals manufacturing, petroleum processing, machine building, timber processing; water and gas production and electricity generation and supply;</w:t>
      </w:r>
    </w:p>
    <w:p w14:paraId="55822649">
      <w:pPr>
        <w:pStyle w:val="6"/>
        <w:spacing w:beforeLines="0" w:afterLines="0"/>
        <w:rPr>
          <w:rFonts w:hint="eastAsia"/>
          <w:sz w:val="21"/>
          <w:szCs w:val="24"/>
        </w:rPr>
      </w:pPr>
      <w:r>
        <w:rPr>
          <w:rFonts w:hint="eastAsia"/>
          <w:sz w:val="21"/>
          <w:szCs w:val="24"/>
        </w:rPr>
        <w:t>4.repairing and renovating of industrial products such as the  machinery.</w:t>
      </w:r>
    </w:p>
    <w:p w14:paraId="5A297221">
      <w:pPr>
        <w:pStyle w:val="6"/>
        <w:spacing w:beforeLines="0" w:afterLines="0"/>
        <w:rPr>
          <w:rFonts w:hint="eastAsia"/>
          <w:sz w:val="21"/>
          <w:szCs w:val="24"/>
        </w:rPr>
      </w:pPr>
      <w:r>
        <w:rPr>
          <w:rFonts w:hint="eastAsia"/>
          <w:sz w:val="21"/>
          <w:szCs w:val="24"/>
        </w:rPr>
        <w:t xml:space="preserve">Prior to 1984, the rural industry run by villages and cooperative organizations under village was classified into agriculture. Since 1984, it has been grouped into industry. </w:t>
      </w:r>
    </w:p>
    <w:p w14:paraId="3BBB7830">
      <w:pPr>
        <w:pStyle w:val="6"/>
        <w:spacing w:beforeLines="0" w:afterLines="0"/>
        <w:rPr>
          <w:rFonts w:hint="eastAsia"/>
          <w:sz w:val="21"/>
          <w:szCs w:val="24"/>
        </w:rPr>
      </w:pPr>
      <w:r>
        <w:rPr>
          <w:rFonts w:hint="eastAsia"/>
          <w:sz w:val="21"/>
          <w:szCs w:val="24"/>
        </w:rPr>
        <w:t>In industrial survey,the units of enquiry are industrial corporate units.</w:t>
      </w:r>
    </w:p>
    <w:p w14:paraId="56D2EB60">
      <w:pPr>
        <w:pStyle w:val="6"/>
        <w:spacing w:beforeLines="0" w:afterLines="0"/>
        <w:rPr>
          <w:rFonts w:hint="eastAsia"/>
          <w:sz w:val="21"/>
          <w:szCs w:val="24"/>
        </w:rPr>
      </w:pPr>
      <w:r>
        <w:rPr>
          <w:rFonts w:hint="default" w:ascii="Times New Roman" w:hAnsi="Times New Roman" w:eastAsia="Times New Roman"/>
          <w:b/>
          <w:sz w:val="21"/>
          <w:szCs w:val="24"/>
        </w:rPr>
        <w:t>Industrial corporate units</w:t>
      </w:r>
      <w:r>
        <w:rPr>
          <w:rFonts w:hint="eastAsia"/>
          <w:sz w:val="21"/>
          <w:szCs w:val="24"/>
        </w:rPr>
        <w:t xml:space="preserve"> refer to corporate units engaging in industrial production and operation activities, which meet the following requirements:</w:t>
      </w:r>
    </w:p>
    <w:p w14:paraId="21CFEAC5">
      <w:pPr>
        <w:pStyle w:val="6"/>
        <w:spacing w:beforeLines="0" w:afterLines="0"/>
        <w:rPr>
          <w:rFonts w:hint="eastAsia"/>
          <w:sz w:val="21"/>
          <w:szCs w:val="24"/>
        </w:rPr>
      </w:pPr>
      <w:r>
        <w:rPr>
          <w:rFonts w:hint="eastAsia"/>
          <w:sz w:val="21"/>
          <w:szCs w:val="24"/>
        </w:rPr>
        <w:t>1.They are established legally,having their own names,organizations,location,and are able to take civil liability independently;</w:t>
      </w:r>
    </w:p>
    <w:p w14:paraId="09412FB7">
      <w:pPr>
        <w:pStyle w:val="6"/>
        <w:spacing w:beforeLines="0" w:afterLines="0"/>
        <w:rPr>
          <w:rFonts w:hint="eastAsia"/>
          <w:sz w:val="21"/>
          <w:szCs w:val="24"/>
        </w:rPr>
      </w:pPr>
      <w:r>
        <w:rPr>
          <w:rFonts w:hint="eastAsia"/>
          <w:sz w:val="21"/>
          <w:szCs w:val="24"/>
        </w:rPr>
        <w:t>2.They possess (or are authorized to use)assets independently,assume liabilities and are entitled to sign contracts with other units;</w:t>
      </w:r>
    </w:p>
    <w:p w14:paraId="4E386DDA">
      <w:pPr>
        <w:pStyle w:val="6"/>
        <w:spacing w:beforeLines="0" w:afterLines="0"/>
        <w:rPr>
          <w:rFonts w:hint="eastAsia"/>
          <w:sz w:val="21"/>
          <w:szCs w:val="24"/>
        </w:rPr>
      </w:pPr>
      <w:r>
        <w:rPr>
          <w:rFonts w:hint="eastAsia"/>
          <w:sz w:val="21"/>
          <w:szCs w:val="24"/>
        </w:rPr>
        <w:t>3.They have accounts including the balance sheets or can compile the accounts according to the need.</w:t>
      </w:r>
    </w:p>
    <w:p w14:paraId="45597ECF">
      <w:pPr>
        <w:pStyle w:val="6"/>
        <w:spacing w:beforeLines="0" w:afterLines="0"/>
        <w:rPr>
          <w:rFonts w:hint="eastAsia"/>
          <w:sz w:val="21"/>
          <w:szCs w:val="24"/>
        </w:rPr>
      </w:pPr>
      <w:r>
        <w:rPr>
          <w:rFonts w:hint="default" w:ascii="Times New Roman" w:hAnsi="Times New Roman" w:eastAsia="Times New Roman"/>
          <w:b/>
          <w:sz w:val="21"/>
          <w:szCs w:val="24"/>
        </w:rPr>
        <w:t>Industrial Enterprises above Designated Size</w:t>
      </w:r>
      <w:r>
        <w:rPr>
          <w:rFonts w:hint="eastAsia"/>
          <w:sz w:val="21"/>
          <w:szCs w:val="24"/>
        </w:rPr>
        <w:t xml:space="preserve"> refer to industrial enterprises with main business revenue reaches and exceeds 20 million yuan every year since 2011.</w:t>
      </w:r>
    </w:p>
    <w:p w14:paraId="216A6775">
      <w:pPr>
        <w:pStyle w:val="6"/>
        <w:spacing w:beforeLines="0" w:afterLines="0"/>
        <w:rPr>
          <w:rFonts w:hint="eastAsia"/>
          <w:sz w:val="21"/>
          <w:szCs w:val="24"/>
        </w:rPr>
      </w:pPr>
      <w:r>
        <w:rPr>
          <w:rFonts w:hint="default" w:ascii="Times New Roman" w:hAnsi="Times New Roman" w:eastAsia="Times New Roman"/>
          <w:b/>
          <w:sz w:val="21"/>
          <w:szCs w:val="24"/>
        </w:rPr>
        <w:t xml:space="preserve">State-owned Enterprises </w:t>
      </w:r>
      <w:r>
        <w:rPr>
          <w:rFonts w:hint="eastAsia"/>
          <w:sz w:val="21"/>
          <w:szCs w:val="24"/>
        </w:rPr>
        <w:t xml:space="preserve">refers to non-corporate economic organizations whose assets are owned by the state and registered in accordance with the regulations of the People's Republic of China for controlling the registration of enterprises as legal persons. Exclusive of a wholly state-owned company in a limited liability company. </w:t>
      </w:r>
    </w:p>
    <w:p w14:paraId="298B8C4C">
      <w:pPr>
        <w:pStyle w:val="6"/>
        <w:spacing w:beforeLines="0" w:afterLines="0"/>
        <w:rPr>
          <w:rFonts w:hint="eastAsia"/>
          <w:sz w:val="21"/>
          <w:szCs w:val="24"/>
        </w:rPr>
      </w:pPr>
      <w:r>
        <w:rPr>
          <w:rFonts w:hint="default" w:ascii="Times New Roman" w:hAnsi="Times New Roman" w:eastAsia="Times New Roman"/>
          <w:b/>
          <w:sz w:val="21"/>
          <w:szCs w:val="24"/>
        </w:rPr>
        <w:t xml:space="preserve">Collective-owned Enterprises </w:t>
      </w:r>
      <w:r>
        <w:rPr>
          <w:rFonts w:hint="eastAsia"/>
          <w:sz w:val="21"/>
          <w:szCs w:val="24"/>
        </w:rPr>
        <w:t>refers to economic organizations whose assets are owned by the collective and registered in accordance with the regulations of the People's Republic of China for controlling the registration of enterprises as legal persons.</w:t>
      </w:r>
    </w:p>
    <w:p w14:paraId="27F3A8E1">
      <w:pPr>
        <w:pStyle w:val="6"/>
        <w:spacing w:beforeLines="0" w:afterLines="0"/>
        <w:rPr>
          <w:rFonts w:hint="eastAsia"/>
          <w:sz w:val="21"/>
          <w:szCs w:val="24"/>
        </w:rPr>
      </w:pPr>
      <w:r>
        <w:rPr>
          <w:rFonts w:hint="default" w:ascii="Times New Roman" w:hAnsi="Times New Roman" w:eastAsia="Times New Roman"/>
          <w:b/>
          <w:sz w:val="21"/>
          <w:szCs w:val="24"/>
        </w:rPr>
        <w:t>Joint-stock Cooperative Enterprises</w:t>
      </w:r>
      <w:r>
        <w:rPr>
          <w:rFonts w:hint="eastAsia"/>
          <w:sz w:val="21"/>
          <w:szCs w:val="24"/>
        </w:rPr>
        <w:t xml:space="preserve"> refers to a kind of collective economy organization that established by a foundation with cooperative system, investment of enterprises workers and a certain proportion investment of the social assets. It executes independent management, self-financing profit and loss, joint labor, democratic management, distribution according to work and joint dividend by share. </w:t>
      </w:r>
    </w:p>
    <w:p w14:paraId="06550BBA">
      <w:pPr>
        <w:pStyle w:val="6"/>
        <w:spacing w:beforeLines="0" w:afterLines="0"/>
        <w:rPr>
          <w:rFonts w:hint="eastAsia"/>
          <w:sz w:val="21"/>
          <w:szCs w:val="24"/>
        </w:rPr>
      </w:pPr>
      <w:r>
        <w:rPr>
          <w:rFonts w:hint="default" w:ascii="Times New Roman" w:hAnsi="Times New Roman" w:eastAsia="Times New Roman"/>
          <w:b/>
          <w:sz w:val="21"/>
          <w:szCs w:val="24"/>
        </w:rPr>
        <w:t>Joint-stock Enterprises</w:t>
      </w:r>
      <w:r>
        <w:rPr>
          <w:rFonts w:hint="eastAsia"/>
          <w:sz w:val="21"/>
          <w:szCs w:val="24"/>
        </w:rPr>
        <w:t xml:space="preserve"> refers to a form of enterprise organization in which two or more interest subjects are voluntarily combined in the form of stock collection.</w:t>
      </w:r>
    </w:p>
    <w:p w14:paraId="6B658CD0">
      <w:pPr>
        <w:pStyle w:val="6"/>
        <w:spacing w:beforeLines="0" w:afterLines="0"/>
        <w:rPr>
          <w:rFonts w:hint="eastAsia"/>
          <w:sz w:val="21"/>
          <w:szCs w:val="24"/>
        </w:rPr>
      </w:pPr>
      <w:r>
        <w:rPr>
          <w:rFonts w:hint="default" w:ascii="Times New Roman" w:hAnsi="Times New Roman" w:eastAsia="Times New Roman"/>
          <w:b/>
          <w:sz w:val="21"/>
          <w:szCs w:val="24"/>
        </w:rPr>
        <w:t>Other Enterprises</w:t>
      </w:r>
      <w:r>
        <w:rPr>
          <w:rFonts w:hint="eastAsia"/>
          <w:sz w:val="21"/>
          <w:szCs w:val="24"/>
        </w:rPr>
        <w:t xml:space="preserve"> refers to other domestic economic organizations other than the above-mentioned enterprises.</w:t>
      </w:r>
    </w:p>
    <w:p w14:paraId="6D41535B">
      <w:pPr>
        <w:pStyle w:val="6"/>
        <w:spacing w:beforeLines="0" w:afterLines="0"/>
        <w:rPr>
          <w:rFonts w:hint="eastAsia"/>
          <w:sz w:val="21"/>
          <w:szCs w:val="24"/>
        </w:rPr>
      </w:pPr>
      <w:r>
        <w:rPr>
          <w:rFonts w:hint="default" w:ascii="Times New Roman" w:hAnsi="Times New Roman" w:eastAsia="Times New Roman"/>
          <w:b/>
          <w:sz w:val="21"/>
          <w:szCs w:val="24"/>
        </w:rPr>
        <w:t>Hong Kong, Macao and Taiwan Investment Enterprises</w:t>
      </w:r>
      <w:r>
        <w:rPr>
          <w:rFonts w:hint="eastAsia"/>
          <w:sz w:val="21"/>
          <w:szCs w:val="24"/>
        </w:rPr>
        <w:t xml:space="preserve"> refers to Hong Kong, Macao and Taiwan investors in accordance with Chinese law, established in the mainland in the form of joint venture, cooperation or sole proprietorship.</w:t>
      </w:r>
    </w:p>
    <w:p w14:paraId="2BB7A76C">
      <w:pPr>
        <w:pStyle w:val="6"/>
        <w:spacing w:beforeLines="0" w:afterLines="0"/>
        <w:rPr>
          <w:rFonts w:hint="eastAsia"/>
          <w:sz w:val="21"/>
          <w:szCs w:val="24"/>
        </w:rPr>
      </w:pPr>
      <w:r>
        <w:rPr>
          <w:rFonts w:hint="default" w:ascii="Times New Roman" w:hAnsi="Times New Roman" w:eastAsia="Times New Roman"/>
          <w:b/>
          <w:sz w:val="21"/>
          <w:szCs w:val="24"/>
        </w:rPr>
        <w:t>Foreign-invested Enterprises</w:t>
      </w:r>
      <w:r>
        <w:rPr>
          <w:rFonts w:hint="eastAsia"/>
          <w:sz w:val="21"/>
          <w:szCs w:val="24"/>
        </w:rPr>
        <w:t xml:space="preserve"> refers to a kind of economic organization established by foreign investors, according to the relevant foreign-related economic laws, regulations of the People's Republic of China, established in the mainland in the form of joint venture, cooperation or sole proprietorship.</w:t>
      </w:r>
    </w:p>
    <w:p w14:paraId="6F003519">
      <w:pPr>
        <w:pStyle w:val="6"/>
        <w:spacing w:beforeLines="0" w:afterLines="0"/>
        <w:rPr>
          <w:rFonts w:hint="eastAsia"/>
          <w:sz w:val="21"/>
          <w:szCs w:val="24"/>
        </w:rPr>
      </w:pPr>
      <w:r>
        <w:rPr>
          <w:rFonts w:hint="default" w:ascii="Times New Roman" w:hAnsi="Times New Roman" w:eastAsia="Times New Roman"/>
          <w:b/>
          <w:sz w:val="21"/>
          <w:szCs w:val="24"/>
        </w:rPr>
        <w:t>Large, Medium, Small and Microenterprises</w:t>
      </w:r>
      <w:r>
        <w:rPr>
          <w:rFonts w:hint="eastAsia"/>
          <w:sz w:val="21"/>
          <w:szCs w:val="24"/>
        </w:rPr>
        <w:t xml:space="preserve"> Since the bulletin of 2011,the standard of grouping the enterprises' scale has been changed according to Statistical Method of Classing Large, Medium, Small and Mini-sized Enterprises established by Ministry of Information and Industry, State Statistical Bureau, National Development and Reform Commission, Ministry of Finance. According to partitioning standards are number of employees, main operation revenue, enterprises are classified into large-sized, medium-sized, small-sized and microenterprises.</w:t>
      </w:r>
    </w:p>
    <w:p w14:paraId="627DD958">
      <w:pPr>
        <w:pStyle w:val="6"/>
        <w:spacing w:beforeLines="0" w:afterLines="0"/>
        <w:rPr>
          <w:rFonts w:hint="eastAsia"/>
          <w:sz w:val="21"/>
          <w:szCs w:val="24"/>
        </w:rPr>
      </w:pPr>
      <w:r>
        <w:rPr>
          <w:rFonts w:hint="default" w:ascii="Times New Roman" w:hAnsi="Times New Roman" w:eastAsia="Times New Roman"/>
          <w:b/>
          <w:sz w:val="21"/>
          <w:szCs w:val="24"/>
        </w:rPr>
        <w:t>Gross Industry Output Value</w:t>
      </w:r>
      <w:r>
        <w:rPr>
          <w:rFonts w:hint="eastAsia"/>
          <w:sz w:val="21"/>
          <w:szCs w:val="24"/>
        </w:rPr>
        <w:t xml:space="preserve"> refers to the total value of final industrial products produced and industrial  services provided during the reporting period. It is the total volume of industrial products produced during a given period in monetary terms, which reflects the total achievements and overall scale of industrial production. It includes value of finished products, which are not to be further processed in the enterprises and have been inspected, packed and put in storage, income from external processing, and differential value of self-made semi-finished products and products in process at the end and beginning of the report period. The gross industrial output value is calculated by the “factory method”, i.e. an industrial enterprise is treated as the basic amounting unit in calculating the gross industrial output value; no double calculations are to be made within the same enterprise, e.g. the output value of the different workshops (branch factories) of an enterprises should not be added, however, this method does not exclude the possibility of double counting among different enterprises, industries and regions. </w:t>
      </w:r>
    </w:p>
    <w:p w14:paraId="70D87179">
      <w:pPr>
        <w:pStyle w:val="6"/>
        <w:spacing w:beforeLines="0" w:afterLines="0"/>
        <w:rPr>
          <w:rFonts w:hint="eastAsia"/>
          <w:sz w:val="21"/>
          <w:szCs w:val="24"/>
        </w:rPr>
      </w:pPr>
      <w:r>
        <w:rPr>
          <w:rFonts w:hint="default" w:ascii="Times New Roman" w:hAnsi="Times New Roman" w:eastAsia="Times New Roman"/>
          <w:b/>
          <w:sz w:val="21"/>
          <w:szCs w:val="24"/>
        </w:rPr>
        <w:t>Calculation of gross Industry output value according to the following rules:</w:t>
      </w:r>
    </w:p>
    <w:p w14:paraId="4DBB3C80">
      <w:pPr>
        <w:pStyle w:val="6"/>
        <w:spacing w:beforeLines="0" w:afterLines="0"/>
        <w:rPr>
          <w:rFonts w:hint="eastAsia"/>
          <w:sz w:val="21"/>
          <w:szCs w:val="24"/>
        </w:rPr>
      </w:pPr>
      <w:r>
        <w:rPr>
          <w:rFonts w:hint="eastAsia"/>
          <w:sz w:val="21"/>
          <w:szCs w:val="24"/>
        </w:rPr>
        <w:t xml:space="preserve">1.Products produced with self-prepared raw material are calculated at all-round price in reporting the gross industrial output value, irrespective complexity of simplicity of production, i.e., the gross industrial output value includes the value of self-prepared raw material. </w:t>
      </w:r>
    </w:p>
    <w:p w14:paraId="202379DD">
      <w:pPr>
        <w:pStyle w:val="6"/>
        <w:spacing w:beforeLines="0" w:afterLines="0"/>
        <w:rPr>
          <w:rFonts w:hint="eastAsia"/>
          <w:sz w:val="21"/>
          <w:szCs w:val="24"/>
        </w:rPr>
      </w:pPr>
      <w:r>
        <w:rPr>
          <w:rFonts w:hint="eastAsia"/>
          <w:sz w:val="21"/>
          <w:szCs w:val="24"/>
        </w:rPr>
        <w:t xml:space="preserve">2. Products processed with supplied materials are calculated, processing enterprises only charge processing fees, according to processing charges financially settled in reporting the gross industrial output value, i.e., the gross industrial output value excludes the value of orders’ material. </w:t>
      </w:r>
    </w:p>
    <w:p w14:paraId="5CAEF272">
      <w:pPr>
        <w:pStyle w:val="6"/>
        <w:spacing w:beforeLines="0" w:afterLines="0"/>
        <w:rPr>
          <w:rFonts w:hint="eastAsia"/>
          <w:sz w:val="21"/>
          <w:szCs w:val="24"/>
        </w:rPr>
      </w:pPr>
      <w:r>
        <w:rPr>
          <w:rFonts w:hint="eastAsia"/>
          <w:sz w:val="21"/>
          <w:szCs w:val="24"/>
        </w:rPr>
        <w:t>3. The value of change in semi-finished products should be included in the gross industrial output value if it is included in the accounting record of the enterprise,otherwise it should not be included.</w:t>
      </w:r>
    </w:p>
    <w:p w14:paraId="55D5301A">
      <w:pPr>
        <w:pStyle w:val="6"/>
        <w:spacing w:beforeLines="0" w:afterLines="0"/>
        <w:rPr>
          <w:rFonts w:hint="eastAsia"/>
          <w:sz w:val="21"/>
          <w:szCs w:val="24"/>
        </w:rPr>
      </w:pPr>
      <w:r>
        <w:rPr>
          <w:rFonts w:hint="eastAsia"/>
          <w:sz w:val="21"/>
          <w:szCs w:val="24"/>
        </w:rPr>
        <w:t>4. Value of finished product is calculated by the quantity of the finished products multiplied by the average unit price at which products are sold(excluding value-added tax).</w:t>
      </w:r>
    </w:p>
    <w:p w14:paraId="4A904072">
      <w:pPr>
        <w:pStyle w:val="6"/>
        <w:spacing w:beforeLines="0" w:afterLines="0"/>
        <w:rPr>
          <w:rFonts w:hint="eastAsia"/>
          <w:sz w:val="21"/>
          <w:szCs w:val="24"/>
        </w:rPr>
      </w:pPr>
      <w:r>
        <w:rPr>
          <w:rFonts w:hint="default" w:ascii="Times New Roman" w:hAnsi="Times New Roman" w:eastAsia="Times New Roman"/>
          <w:b/>
          <w:sz w:val="21"/>
          <w:szCs w:val="24"/>
        </w:rPr>
        <w:t>Total Assets</w:t>
      </w:r>
      <w:r>
        <w:rPr>
          <w:rFonts w:hint="eastAsia"/>
          <w:sz w:val="21"/>
          <w:szCs w:val="24"/>
        </w:rPr>
        <w:t xml:space="preserve"> refer to all resources that are owned or controlled by enterprises through previous trades or transactions with expectation of making economic profits. Classified by the degree of liquidity,total assets include current assets, ad non-current assents.Current assets can be classified into monetary assets,trading financial   assets,notes receivable,accounts receivable,advanced payment, other prepaid money and inventories.Non-current assets can be divided into long-term equity investment, fixed assets,intangible assets and other non-current assets.</w:t>
      </w:r>
    </w:p>
    <w:p w14:paraId="287EADDA">
      <w:pPr>
        <w:pStyle w:val="6"/>
        <w:spacing w:beforeLines="0" w:afterLines="0"/>
        <w:rPr>
          <w:rFonts w:hint="eastAsia"/>
          <w:sz w:val="21"/>
          <w:szCs w:val="24"/>
        </w:rPr>
      </w:pPr>
      <w:r>
        <w:rPr>
          <w:rFonts w:hint="default" w:ascii="Times New Roman" w:hAnsi="Times New Roman" w:eastAsia="Times New Roman"/>
          <w:b/>
          <w:sz w:val="21"/>
          <w:szCs w:val="24"/>
        </w:rPr>
        <w:t>Overall Labor Productivity</w:t>
      </w:r>
      <w:r>
        <w:rPr>
          <w:rFonts w:hint="eastAsia"/>
          <w:sz w:val="21"/>
          <w:szCs w:val="24"/>
        </w:rPr>
        <w:t xml:space="preserve"> refers to the average output per employed person of industrial enterprises in unit time in value terms. At present, gross industrial output value or added value of industry and average number of staff and workers of an industrial enterprise in a given period are used to calculate overall labor productivity. The formula used is as follows: </w:t>
      </w:r>
    </w:p>
    <w:p w14:paraId="461BD7E2">
      <w:pPr>
        <w:pStyle w:val="6"/>
        <w:spacing w:beforeLines="0" w:afterLines="0"/>
        <w:rPr>
          <w:rFonts w:hint="eastAsia"/>
          <w:sz w:val="21"/>
          <w:szCs w:val="24"/>
        </w:rPr>
      </w:pPr>
      <w:r>
        <w:rPr>
          <w:rFonts w:hint="eastAsia"/>
          <w:sz w:val="21"/>
          <w:szCs w:val="24"/>
        </w:rPr>
        <w:t xml:space="preserve">Overall Labor Productivity = Gross Industrial Output Value/Average Number of Staff and Workers× 12/Accumulated Months = Added Value of Industry/Average Number of Staff and Workers×12/Accumulated Months </w:t>
      </w:r>
    </w:p>
    <w:p w14:paraId="5C4259CB">
      <w:pPr>
        <w:pStyle w:val="6"/>
        <w:spacing w:beforeLines="0" w:afterLines="0"/>
        <w:rPr>
          <w:rFonts w:hint="eastAsia"/>
          <w:sz w:val="21"/>
          <w:szCs w:val="24"/>
        </w:rPr>
      </w:pPr>
      <w:r>
        <w:rPr>
          <w:rFonts w:hint="default" w:ascii="Times New Roman" w:hAnsi="Times New Roman" w:eastAsia="Times New Roman"/>
          <w:b/>
          <w:sz w:val="21"/>
          <w:szCs w:val="24"/>
        </w:rPr>
        <w:t>Ratio of Sales to Gross Output Value</w:t>
      </w:r>
      <w:r>
        <w:rPr>
          <w:rFonts w:hint="eastAsia"/>
          <w:sz w:val="21"/>
          <w:szCs w:val="24"/>
        </w:rPr>
        <w:t xml:space="preserve"> refers to the ratio of industrial sales value in the report period to gross industrial output value in the same period, which reflects the linkage between the industrial production and the realized sales. The formula is as follows: </w:t>
      </w:r>
    </w:p>
    <w:p w14:paraId="74B469C7">
      <w:pPr>
        <w:pStyle w:val="6"/>
        <w:spacing w:beforeLines="0" w:afterLines="0"/>
        <w:rPr>
          <w:rFonts w:hint="eastAsia"/>
          <w:sz w:val="21"/>
          <w:szCs w:val="24"/>
        </w:rPr>
      </w:pPr>
      <w:r>
        <w:rPr>
          <w:rFonts w:hint="eastAsia"/>
          <w:sz w:val="21"/>
          <w:szCs w:val="24"/>
        </w:rPr>
        <w:t xml:space="preserve">Ratio of Sales to Gross Output Value = (Industrial Sales Value at Current Price in the Report Period/Gross Industrial Output Value at Current Price in the Report Period)×100% </w:t>
      </w:r>
    </w:p>
    <w:p w14:paraId="53FA5238">
      <w:pPr>
        <w:pStyle w:val="6"/>
        <w:spacing w:beforeLines="0" w:afterLines="0"/>
        <w:rPr>
          <w:rFonts w:hint="eastAsia"/>
          <w:sz w:val="21"/>
          <w:szCs w:val="24"/>
        </w:rPr>
      </w:pPr>
      <w:r>
        <w:rPr>
          <w:rFonts w:hint="default" w:ascii="Times New Roman" w:hAnsi="Times New Roman" w:eastAsia="Times New Roman"/>
          <w:b/>
          <w:sz w:val="21"/>
          <w:szCs w:val="24"/>
        </w:rPr>
        <w:t xml:space="preserve">Ratio of Profits to Total Costs and Expenses refers </w:t>
      </w:r>
      <w:r>
        <w:rPr>
          <w:rFonts w:hint="eastAsia"/>
          <w:sz w:val="21"/>
          <w:szCs w:val="24"/>
        </w:rPr>
        <w:t xml:space="preserve">to the ratio of profits realized in the report period to the total costs and expenses in the same period, which reflects the economic efficiency of cost reduction. It is calculated as follows: </w:t>
      </w:r>
    </w:p>
    <w:p w14:paraId="6C665F53">
      <w:pPr>
        <w:pStyle w:val="6"/>
        <w:spacing w:beforeLines="0" w:afterLines="0"/>
        <w:rPr>
          <w:rFonts w:hint="eastAsia"/>
          <w:sz w:val="21"/>
          <w:szCs w:val="24"/>
        </w:rPr>
      </w:pPr>
      <w:r>
        <w:rPr>
          <w:rFonts w:hint="eastAsia"/>
          <w:sz w:val="21"/>
          <w:szCs w:val="24"/>
        </w:rPr>
        <w:t xml:space="preserve">Ratio of Profits to Total Costs and Expenses (%) = (Total Profits Realized in the Report Period/Total Costs and Expenses in the Report Period)×100% </w:t>
      </w:r>
    </w:p>
    <w:p w14:paraId="27FBDFCC">
      <w:pPr>
        <w:pStyle w:val="6"/>
        <w:spacing w:beforeLines="0" w:afterLines="0"/>
        <w:rPr>
          <w:rFonts w:hint="eastAsia"/>
          <w:sz w:val="21"/>
          <w:szCs w:val="24"/>
        </w:rPr>
      </w:pPr>
      <w:r>
        <w:rPr>
          <w:rFonts w:hint="eastAsia"/>
          <w:sz w:val="21"/>
          <w:szCs w:val="24"/>
        </w:rPr>
        <w:t xml:space="preserve">Costs and expenses are the sum of product sales cost, product sales expenses and financial expenses. </w:t>
      </w:r>
    </w:p>
    <w:p w14:paraId="4535358B">
      <w:pPr>
        <w:pStyle w:val="6"/>
        <w:spacing w:beforeLines="0" w:afterLines="0"/>
        <w:rPr>
          <w:rFonts w:hint="eastAsia"/>
          <w:sz w:val="21"/>
          <w:szCs w:val="24"/>
        </w:rPr>
      </w:pPr>
      <w:r>
        <w:rPr>
          <w:rFonts w:hint="default" w:ascii="Times New Roman" w:hAnsi="Times New Roman" w:eastAsia="Times New Roman"/>
          <w:b/>
          <w:sz w:val="21"/>
          <w:szCs w:val="24"/>
        </w:rPr>
        <w:t>Turnover Rate of Current Assets</w:t>
      </w:r>
      <w:r>
        <w:rPr>
          <w:rFonts w:hint="eastAsia"/>
          <w:sz w:val="21"/>
          <w:szCs w:val="24"/>
        </w:rPr>
        <w:t xml:space="preserve"> refers to the number of times of turnover of current assets in a given period of time, which reflects the speed of the turnover of current assets. It is calculated as follows: </w:t>
      </w:r>
    </w:p>
    <w:p w14:paraId="2A7193B0">
      <w:pPr>
        <w:pStyle w:val="6"/>
        <w:spacing w:beforeLines="0" w:afterLines="0"/>
        <w:rPr>
          <w:rFonts w:hint="eastAsia"/>
          <w:sz w:val="21"/>
          <w:szCs w:val="24"/>
        </w:rPr>
      </w:pPr>
      <w:r>
        <w:rPr>
          <w:rFonts w:hint="eastAsia"/>
          <w:sz w:val="21"/>
          <w:szCs w:val="24"/>
        </w:rPr>
        <w:t xml:space="preserve">Turnover Rate of Current Assets (%) = (Accumulated Sales Revenue of Products by the End of Report Period/Average Current Assets in the Report Period) ×12/Accumulated Months </w:t>
      </w:r>
    </w:p>
    <w:p w14:paraId="0EAD9DDB">
      <w:pPr>
        <w:pStyle w:val="6"/>
        <w:spacing w:beforeLines="0" w:afterLines="0"/>
        <w:rPr>
          <w:rFonts w:hint="eastAsia"/>
          <w:sz w:val="21"/>
          <w:szCs w:val="24"/>
        </w:rPr>
      </w:pPr>
      <w:r>
        <w:rPr>
          <w:rFonts w:hint="default" w:ascii="Times New Roman" w:hAnsi="Times New Roman" w:eastAsia="Times New Roman"/>
          <w:b/>
          <w:sz w:val="21"/>
          <w:szCs w:val="24"/>
        </w:rPr>
        <w:t>Ratio of Debts to Assets</w:t>
      </w:r>
      <w:r>
        <w:rPr>
          <w:rFonts w:hint="eastAsia"/>
          <w:sz w:val="21"/>
          <w:szCs w:val="24"/>
        </w:rPr>
        <w:t xml:space="preserve"> reflects the proportion of assets obtained by borrowing in the total assets of an enterprise. It is one of the indicators reflecting the debt repaying capability of an enterprise in the long run and can also be used to measure the operating capability of an enterprise with the capital from creditors and the degree to which an enterprise can protect the interest of creditor during liquidation. The formula is as follows: </w:t>
      </w:r>
    </w:p>
    <w:p w14:paraId="0293FF12">
      <w:pPr>
        <w:pStyle w:val="6"/>
        <w:spacing w:beforeLines="0" w:afterLines="0"/>
        <w:rPr>
          <w:rFonts w:hint="eastAsia"/>
          <w:sz w:val="21"/>
          <w:szCs w:val="24"/>
        </w:rPr>
      </w:pPr>
      <w:r>
        <w:rPr>
          <w:rFonts w:hint="eastAsia"/>
          <w:sz w:val="21"/>
          <w:szCs w:val="24"/>
        </w:rPr>
        <w:t xml:space="preserve">Ratio of Debts to Assets (%) = (Total Debts/Total Assets) ×100% </w:t>
      </w:r>
    </w:p>
    <w:p w14:paraId="5269D0E6">
      <w:pPr>
        <w:pStyle w:val="6"/>
        <w:spacing w:beforeLines="0" w:afterLines="0"/>
        <w:rPr>
          <w:rFonts w:hint="eastAsia"/>
          <w:sz w:val="21"/>
          <w:szCs w:val="24"/>
        </w:rPr>
      </w:pPr>
      <w:r>
        <w:rPr>
          <w:rFonts w:hint="default" w:ascii="Times New Roman" w:hAnsi="Times New Roman" w:eastAsia="Times New Roman"/>
          <w:b/>
          <w:sz w:val="21"/>
          <w:szCs w:val="24"/>
        </w:rPr>
        <w:t>Contribution Rate of Total Assets</w:t>
      </w:r>
      <w:r>
        <w:rPr>
          <w:rFonts w:hint="eastAsia"/>
          <w:sz w:val="21"/>
          <w:szCs w:val="24"/>
        </w:rPr>
        <w:t xml:space="preserve"> reflects the profit-making capability of all assets and it is a key indicator manifesting the performance and management level of an enterprise. The formula is as follows: Contribution Rate of Total Assets (%) = [(Total Profits and Tax + Interest Payment)/Total Average Assets] × 12/Accumulated Months×100% </w:t>
      </w:r>
    </w:p>
    <w:p w14:paraId="11EEAA89">
      <w:pPr>
        <w:pStyle w:val="6"/>
        <w:spacing w:beforeLines="0" w:afterLines="0"/>
        <w:rPr>
          <w:rFonts w:hint="eastAsia"/>
          <w:sz w:val="21"/>
          <w:szCs w:val="24"/>
        </w:rPr>
      </w:pPr>
      <w:r>
        <w:rPr>
          <w:rFonts w:hint="eastAsia"/>
          <w:sz w:val="21"/>
          <w:szCs w:val="24"/>
        </w:rPr>
        <w:t>Total average assets refer to the arithmetic average value of total assets at the beginning and end of period, i.e. Total Average Assets = (Total Assets at the Beginning of Period + Total Assets at the End of Period) ÷2.</w:t>
      </w:r>
    </w:p>
    <w:p w14:paraId="767B635E">
      <w:pPr>
        <w:pStyle w:val="6"/>
        <w:spacing w:beforeLines="0" w:afterLines="0"/>
        <w:rPr>
          <w:rFonts w:hint="eastAsia"/>
          <w:sz w:val="21"/>
          <w:szCs w:val="24"/>
        </w:rPr>
      </w:pPr>
      <w:r>
        <w:rPr>
          <w:rFonts w:hint="default" w:ascii="Times New Roman" w:hAnsi="Times New Roman" w:eastAsia="Times New Roman"/>
          <w:b/>
          <w:sz w:val="21"/>
          <w:szCs w:val="24"/>
        </w:rPr>
        <w:t>Rate of Asset Hedge and Increment</w:t>
      </w:r>
      <w:r>
        <w:rPr>
          <w:rFonts w:hint="eastAsia"/>
          <w:sz w:val="21"/>
          <w:szCs w:val="24"/>
        </w:rPr>
        <w:t xml:space="preserve"> reflects the variation of assets of an enterprise and manifests the development capability of an enterprise. The formula is as follows: </w:t>
      </w:r>
    </w:p>
    <w:p w14:paraId="45F6DA0C">
      <w:pPr>
        <w:pStyle w:val="6"/>
        <w:spacing w:beforeLines="0" w:afterLines="0"/>
        <w:rPr>
          <w:rFonts w:hint="eastAsia"/>
          <w:sz w:val="21"/>
          <w:szCs w:val="24"/>
        </w:rPr>
      </w:pPr>
      <w:r>
        <w:rPr>
          <w:rFonts w:hint="eastAsia"/>
          <w:sz w:val="21"/>
          <w:szCs w:val="24"/>
        </w:rPr>
        <w:t xml:space="preserve">Rate of Asset Hedge and Increment (%) = (Owner’s Equity at the End of Period/ Owner’s Equity at the Beginning of Period) ×100% </w:t>
      </w:r>
    </w:p>
    <w:p w14:paraId="543E0FB0">
      <w:pPr>
        <w:pStyle w:val="6"/>
        <w:spacing w:beforeLines="0" w:afterLines="0"/>
        <w:rPr>
          <w:rFonts w:hint="eastAsia"/>
          <w:sz w:val="21"/>
          <w:szCs w:val="24"/>
        </w:rPr>
      </w:pPr>
      <w:r>
        <w:rPr>
          <w:rFonts w:hint="default" w:ascii="Times New Roman" w:hAnsi="Times New Roman" w:eastAsia="Times New Roman"/>
          <w:b/>
          <w:sz w:val="21"/>
          <w:szCs w:val="24"/>
        </w:rPr>
        <w:t>Total Energy Production Volume</w:t>
      </w:r>
      <w:r>
        <w:rPr>
          <w:rFonts w:hint="eastAsia"/>
          <w:sz w:val="21"/>
          <w:szCs w:val="24"/>
        </w:rPr>
        <w:t xml:space="preserve">  refers to the total production volume of primary energy by all energy production enterprises in the country in a given period of time. It is a comprehensive indicator to show the capacity, scale, composition and development of energy production of the country. The production volume of primary energy includes that of coal, crude oil, natural gas, hydro-power and electricity generated by nuclear energy and other means such as wind power and geothermal power, but excludes that of fuels of low calorific value, bio-energy, solar energy and the secondary energy converted from the primary energy. </w:t>
      </w:r>
    </w:p>
    <w:p w14:paraId="1B3AD91E">
      <w:pPr>
        <w:pStyle w:val="6"/>
        <w:spacing w:beforeLines="0" w:afterLines="0"/>
        <w:rPr>
          <w:rFonts w:hint="eastAsia"/>
          <w:sz w:val="21"/>
          <w:szCs w:val="24"/>
        </w:rPr>
      </w:pPr>
      <w:r>
        <w:rPr>
          <w:rFonts w:hint="default" w:ascii="Times New Roman" w:hAnsi="Times New Roman" w:eastAsia="Times New Roman"/>
          <w:b/>
          <w:sz w:val="21"/>
          <w:szCs w:val="24"/>
        </w:rPr>
        <w:t>Total Domestic Energy Consumption</w:t>
      </w:r>
      <w:r>
        <w:rPr>
          <w:rFonts w:hint="eastAsia"/>
          <w:sz w:val="21"/>
          <w:szCs w:val="24"/>
        </w:rPr>
        <w:t xml:space="preserve">  refers to the total consumption of energy of various kinds by the production and the households in the country(region) in a given period of time. Total energy consumption can be divided into three parts: end-use energy consumption ; loss during the process of energy conversion ; and energy loss. </w:t>
      </w:r>
    </w:p>
    <w:p w14:paraId="0AEFD868">
      <w:pPr>
        <w:pStyle w:val="6"/>
        <w:spacing w:beforeLines="0" w:afterLines="0"/>
        <w:rPr>
          <w:rFonts w:hint="eastAsia"/>
          <w:sz w:val="21"/>
          <w:szCs w:val="24"/>
        </w:rPr>
      </w:pPr>
      <w:r>
        <w:rPr>
          <w:rFonts w:hint="default" w:ascii="Times New Roman" w:hAnsi="Times New Roman" w:eastAsia="Times New Roman"/>
          <w:b/>
          <w:sz w:val="21"/>
          <w:szCs w:val="24"/>
        </w:rPr>
        <w:t>1.End-use energy consumption</w:t>
      </w:r>
      <w:r>
        <w:rPr>
          <w:rFonts w:hint="eastAsia"/>
          <w:sz w:val="21"/>
          <w:szCs w:val="24"/>
        </w:rPr>
        <w:t xml:space="preserve">  It refers to the total energy consumption by the production sectors and households in the country(region) in a given period of time.It does not include the consumption during the  conversion of primary energy into the secondary energy and the loss in the process of energy conversion. </w:t>
      </w:r>
    </w:p>
    <w:p w14:paraId="3C241FD2">
      <w:pPr>
        <w:pStyle w:val="6"/>
        <w:spacing w:beforeLines="0" w:afterLines="0"/>
        <w:rPr>
          <w:rFonts w:hint="eastAsia"/>
          <w:sz w:val="21"/>
          <w:szCs w:val="24"/>
        </w:rPr>
      </w:pPr>
      <w:r>
        <w:rPr>
          <w:rFonts w:hint="default" w:ascii="Times New Roman" w:hAnsi="Times New Roman" w:eastAsia="Times New Roman"/>
          <w:b/>
          <w:sz w:val="21"/>
          <w:szCs w:val="24"/>
        </w:rPr>
        <w:t>2.Loss during the process of energy conversion</w:t>
      </w:r>
      <w:r>
        <w:rPr>
          <w:rFonts w:hint="eastAsia"/>
          <w:sz w:val="21"/>
          <w:szCs w:val="24"/>
        </w:rPr>
        <w:t xml:space="preserve">  It refers to the total input of various kinds of energy for conversion, minus the total output of various kinds of energy in the country(region) in a given period of time. It is an indicator to show the loss that occurs during the process of energy conversion. </w:t>
      </w:r>
    </w:p>
    <w:p w14:paraId="6F35A0F3">
      <w:pPr>
        <w:pStyle w:val="6"/>
        <w:spacing w:beforeLines="0" w:afterLines="0"/>
        <w:rPr>
          <w:rFonts w:hint="eastAsia"/>
          <w:sz w:val="21"/>
          <w:szCs w:val="24"/>
        </w:rPr>
      </w:pPr>
      <w:r>
        <w:rPr>
          <w:rFonts w:hint="default" w:ascii="Times New Roman" w:hAnsi="Times New Roman" w:eastAsia="Times New Roman"/>
          <w:b/>
          <w:sz w:val="21"/>
          <w:szCs w:val="24"/>
        </w:rPr>
        <w:t>3.Energy loss</w:t>
      </w:r>
      <w:r>
        <w:rPr>
          <w:rFonts w:hint="eastAsia"/>
          <w:sz w:val="21"/>
          <w:szCs w:val="24"/>
        </w:rPr>
        <w:t xml:space="preserve">  It refers to the total of the loss of energy during the course of energy transport, distribution and storage and the loss caused by any objective reason in a given period of time. The loss of various kinds of gas due to gas discharges and stocktaking is not include.</w:t>
      </w:r>
    </w:p>
    <w:p w14:paraId="43942876">
      <w:pPr>
        <w:pStyle w:val="6"/>
        <w:spacing w:beforeLines="0" w:afterLines="0"/>
        <w:rPr>
          <w:rFonts w:hint="eastAsia"/>
          <w:sz w:val="21"/>
          <w:szCs w:val="24"/>
        </w:rPr>
      </w:pPr>
      <w:r>
        <w:rPr>
          <w:rFonts w:hint="default" w:ascii="Times New Roman" w:hAnsi="Times New Roman" w:eastAsia="Times New Roman"/>
          <w:b/>
          <w:sz w:val="21"/>
          <w:szCs w:val="24"/>
        </w:rPr>
        <w:t>Elasticity Ratio of Energy Production</w:t>
      </w:r>
      <w:r>
        <w:rPr>
          <w:rFonts w:hint="eastAsia"/>
          <w:sz w:val="21"/>
          <w:szCs w:val="24"/>
        </w:rPr>
        <w:t xml:space="preserve">  is an indicator to show the relationship between the growth rate of energy production and that of the national economy. The formula is as follows: </w:t>
      </w:r>
    </w:p>
    <w:p w14:paraId="7AFA55F2">
      <w:pPr>
        <w:pStyle w:val="6"/>
        <w:spacing w:beforeLines="0" w:afterLines="0"/>
        <w:rPr>
          <w:rFonts w:hint="eastAsia"/>
          <w:sz w:val="21"/>
          <w:szCs w:val="24"/>
        </w:rPr>
      </w:pPr>
      <w:r>
        <w:rPr>
          <w:rFonts w:hint="eastAsia"/>
          <w:sz w:val="21"/>
          <w:szCs w:val="24"/>
        </w:rPr>
        <w:t xml:space="preserve">Elasticity Ratio of Energy Production = Average Annual Growth Rate of Energy Production/Average Annual Growth Rate of National Economy. </w:t>
      </w:r>
    </w:p>
    <w:p w14:paraId="255950A2">
      <w:pPr>
        <w:pStyle w:val="6"/>
        <w:spacing w:beforeLines="0" w:afterLines="0"/>
        <w:rPr>
          <w:rFonts w:hint="eastAsia"/>
          <w:sz w:val="21"/>
          <w:szCs w:val="24"/>
        </w:rPr>
      </w:pPr>
      <w:r>
        <w:rPr>
          <w:rFonts w:hint="eastAsia"/>
          <w:sz w:val="21"/>
          <w:szCs w:val="24"/>
        </w:rPr>
        <w:t xml:space="preserve">The average annual growth rate of the national economy can be calculated by gross output value of industry and agriculture, gross output value or other indicators, depending upon the purposes or needs. Gross output value is used in calculation of the ratio in this chapter. </w:t>
      </w:r>
    </w:p>
    <w:p w14:paraId="0503D72B">
      <w:pPr>
        <w:pStyle w:val="6"/>
        <w:spacing w:beforeLines="0" w:afterLines="0"/>
        <w:rPr>
          <w:rFonts w:hint="eastAsia"/>
          <w:sz w:val="21"/>
          <w:szCs w:val="24"/>
        </w:rPr>
      </w:pPr>
      <w:r>
        <w:rPr>
          <w:rFonts w:hint="default" w:ascii="Times New Roman" w:hAnsi="Times New Roman" w:eastAsia="Times New Roman"/>
          <w:b/>
          <w:sz w:val="21"/>
          <w:szCs w:val="24"/>
        </w:rPr>
        <w:t>Elasticity Ratio of Electricity Production</w:t>
      </w:r>
      <w:r>
        <w:rPr>
          <w:rFonts w:hint="eastAsia"/>
          <w:sz w:val="21"/>
          <w:szCs w:val="24"/>
        </w:rPr>
        <w:t xml:space="preserve">  is an indicator to show the relationship between the growth rate of electricity production that of the national economy. The formula is as follows: </w:t>
      </w:r>
    </w:p>
    <w:p w14:paraId="18F8F5EF">
      <w:pPr>
        <w:pStyle w:val="6"/>
        <w:spacing w:beforeLines="0" w:afterLines="0"/>
        <w:rPr>
          <w:rFonts w:hint="eastAsia"/>
          <w:sz w:val="21"/>
          <w:szCs w:val="24"/>
        </w:rPr>
      </w:pPr>
      <w:r>
        <w:rPr>
          <w:rFonts w:hint="eastAsia"/>
          <w:sz w:val="21"/>
          <w:szCs w:val="24"/>
        </w:rPr>
        <w:t xml:space="preserve">Elasticity Ratio of Electricity Production = Average Annual Growth Rate of Electricity Production/Average Annual Growth Rate of National Economy. </w:t>
      </w:r>
    </w:p>
    <w:p w14:paraId="72569CC9">
      <w:pPr>
        <w:pStyle w:val="6"/>
        <w:spacing w:beforeLines="0" w:afterLines="0"/>
        <w:rPr>
          <w:rFonts w:hint="eastAsia"/>
          <w:sz w:val="21"/>
          <w:szCs w:val="24"/>
        </w:rPr>
      </w:pPr>
      <w:r>
        <w:rPr>
          <w:rFonts w:hint="default" w:ascii="Times New Roman" w:hAnsi="Times New Roman" w:eastAsia="Times New Roman"/>
          <w:b/>
          <w:sz w:val="21"/>
          <w:szCs w:val="24"/>
        </w:rPr>
        <w:t>Elasticity Ratio of Energy Consumption</w:t>
      </w:r>
      <w:r>
        <w:rPr>
          <w:rFonts w:hint="eastAsia"/>
          <w:sz w:val="21"/>
          <w:szCs w:val="24"/>
        </w:rPr>
        <w:t xml:space="preserve">  is an indicator to show the relationship between the growth rate of energy consumption and that of the national economy. The formula is as follows: </w:t>
      </w:r>
    </w:p>
    <w:p w14:paraId="1C96284D">
      <w:pPr>
        <w:pStyle w:val="6"/>
        <w:spacing w:beforeLines="0" w:afterLines="0"/>
        <w:rPr>
          <w:rFonts w:hint="eastAsia"/>
          <w:sz w:val="21"/>
          <w:szCs w:val="24"/>
        </w:rPr>
      </w:pPr>
      <w:r>
        <w:rPr>
          <w:rFonts w:hint="eastAsia"/>
          <w:sz w:val="21"/>
          <w:szCs w:val="24"/>
        </w:rPr>
        <w:t xml:space="preserve">Elasticity Ratio of Energy Consumption = Average Annual Growth Rate of Energy Consumption/Average Annual Growth Rate of National Economy. </w:t>
      </w:r>
    </w:p>
    <w:p w14:paraId="4C0D3683">
      <w:pPr>
        <w:pStyle w:val="6"/>
        <w:spacing w:beforeLines="0" w:afterLines="0"/>
        <w:rPr>
          <w:rFonts w:hint="eastAsia"/>
          <w:sz w:val="21"/>
          <w:szCs w:val="24"/>
        </w:rPr>
      </w:pPr>
      <w:r>
        <w:rPr>
          <w:rFonts w:hint="default" w:ascii="Times New Roman" w:hAnsi="Times New Roman" w:eastAsia="Times New Roman"/>
          <w:b/>
          <w:sz w:val="21"/>
          <w:szCs w:val="24"/>
        </w:rPr>
        <w:t>Quantity of Energy Conservation</w:t>
      </w:r>
      <w:r>
        <w:rPr>
          <w:rFonts w:hint="eastAsia"/>
          <w:sz w:val="21"/>
          <w:szCs w:val="24"/>
        </w:rPr>
        <w:t xml:space="preserve">  refers to the quantity of energy saved and less used in a certain period. It is an important indicator to appraise and examine the work of energy conservation. It includes the quantity of energy saved in unit product by improving management level and technology level and the quantity of energy less used due to the adjustment of industrial structure and product structure. </w:t>
      </w:r>
    </w:p>
    <w:p w14:paraId="3690C477">
      <w:pPr>
        <w:pStyle w:val="6"/>
        <w:spacing w:beforeLines="0" w:afterLines="0"/>
        <w:rPr>
          <w:rFonts w:hint="eastAsia"/>
          <w:sz w:val="21"/>
          <w:szCs w:val="24"/>
        </w:rPr>
      </w:pPr>
      <w:r>
        <w:rPr>
          <w:rFonts w:hint="default" w:ascii="Times New Roman" w:hAnsi="Times New Roman" w:eastAsia="Times New Roman"/>
          <w:b/>
          <w:sz w:val="21"/>
          <w:szCs w:val="24"/>
        </w:rPr>
        <w:t>Ratio of Energy Conservation</w:t>
      </w:r>
      <w:r>
        <w:rPr>
          <w:rFonts w:hint="eastAsia"/>
          <w:sz w:val="21"/>
          <w:szCs w:val="24"/>
        </w:rPr>
        <w:t xml:space="preserve">  is a comprehensive indicator reflecting the degree of energy conservation. Ratio of energy conservation is usually calculated annually. The indicator of average ratio of energy conservation can be calculated for the study of the energy conservation in a certain period. The formula is as follows: </w:t>
      </w:r>
    </w:p>
    <w:p w14:paraId="3E3FF985">
      <w:pPr>
        <w:pStyle w:val="6"/>
        <w:spacing w:beforeLines="0" w:afterLines="0"/>
        <w:rPr>
          <w:rFonts w:hint="eastAsia"/>
          <w:sz w:val="21"/>
          <w:szCs w:val="24"/>
        </w:rPr>
      </w:pPr>
      <w:r>
        <w:rPr>
          <w:rFonts w:hint="eastAsia"/>
          <w:sz w:val="21"/>
          <w:szCs w:val="24"/>
        </w:rPr>
        <w:t xml:space="preserve">Ratio of Energy Conservation = [(Unit Energy Consumption in the Report Period/Unit Energy Consumption in the Base Period) – 1] ×100% </w:t>
      </w:r>
    </w:p>
    <w:p w14:paraId="5881792E">
      <w:pPr>
        <w:pStyle w:val="6"/>
        <w:spacing w:beforeLines="0" w:afterLines="0"/>
        <w:rPr>
          <w:rFonts w:hint="eastAsia"/>
          <w:sz w:val="21"/>
          <w:szCs w:val="24"/>
        </w:rPr>
      </w:pPr>
      <w:r>
        <w:rPr>
          <w:rFonts w:hint="eastAsia"/>
          <w:sz w:val="21"/>
          <w:szCs w:val="24"/>
        </w:rPr>
        <w:t xml:space="preserve">Annual Average Ratio of Energy Conservation = the N-the Root of [(Unit Energy Consumption in the Report Period/Unit Energy Consumption in the Base Period) – 1] ×100% </w:t>
      </w:r>
    </w:p>
    <w:p w14:paraId="1726160D">
      <w:pPr>
        <w:pStyle w:val="6"/>
        <w:spacing w:beforeLines="0" w:afterLines="0"/>
        <w:rPr>
          <w:rFonts w:hint="eastAsia"/>
          <w:sz w:val="21"/>
          <w:szCs w:val="24"/>
        </w:rPr>
      </w:pPr>
      <w:r>
        <w:rPr>
          <w:rFonts w:hint="eastAsia"/>
          <w:sz w:val="21"/>
          <w:szCs w:val="24"/>
        </w:rPr>
        <w:t xml:space="preserve">In which: The unit energy consumption can be calculated according to gross output value, national product or gross industrial output value, etc. </w:t>
      </w:r>
    </w:p>
    <w:p w14:paraId="48B653C1">
      <w:pPr>
        <w:pStyle w:val="6"/>
        <w:spacing w:beforeLines="0" w:afterLines="0"/>
        <w:rPr>
          <w:rFonts w:hint="eastAsia"/>
          <w:sz w:val="21"/>
          <w:szCs w:val="24"/>
        </w:rPr>
      </w:pPr>
      <w:r>
        <w:rPr>
          <w:rFonts w:hint="eastAsia"/>
          <w:sz w:val="21"/>
          <w:szCs w:val="24"/>
        </w:rPr>
        <w:t xml:space="preserve">The n represents the number of years between base period and report period. </w:t>
      </w:r>
    </w:p>
    <w:p w14:paraId="7DF57C51">
      <w:pPr>
        <w:pStyle w:val="6"/>
        <w:spacing w:beforeLines="0" w:afterLines="0"/>
        <w:rPr>
          <w:rFonts w:hint="eastAsia"/>
          <w:sz w:val="21"/>
          <w:szCs w:val="24"/>
        </w:rPr>
      </w:pPr>
      <w:r>
        <w:rPr>
          <w:rFonts w:hint="default" w:ascii="Times New Roman" w:hAnsi="Times New Roman" w:eastAsia="Times New Roman"/>
          <w:b/>
          <w:sz w:val="21"/>
          <w:szCs w:val="24"/>
        </w:rPr>
        <w:t>Efficiency of Energy Processing and Conversion</w:t>
      </w:r>
      <w:r>
        <w:rPr>
          <w:rFonts w:hint="eastAsia"/>
          <w:sz w:val="21"/>
          <w:szCs w:val="24"/>
        </w:rPr>
        <w:t xml:space="preserve">  refers to the ratio of the total output of energy products of various kinds after processing and conversion to the total input of energy of various kinds for processing and conversion in the same report period. It is an important indicator to show the current conditions of energy processing and conversion equipment, production technique and management. The formula is as follows:   </w:t>
      </w:r>
    </w:p>
    <w:p w14:paraId="4410BE77">
      <w:pPr>
        <w:pStyle w:val="6"/>
        <w:spacing w:beforeLines="0" w:afterLines="0"/>
        <w:rPr>
          <w:rFonts w:hint="eastAsia"/>
          <w:sz w:val="21"/>
          <w:szCs w:val="24"/>
        </w:rPr>
      </w:pPr>
      <w:r>
        <w:rPr>
          <w:rFonts w:hint="eastAsia"/>
          <w:sz w:val="21"/>
          <w:szCs w:val="24"/>
        </w:rPr>
        <w:t>Efficiency of Energy Processing and Conversion=output of process conversion /input of process conversion×100%</w:t>
      </w:r>
    </w:p>
    <w:p w14:paraId="0806BD69">
      <w:pPr>
        <w:pStyle w:val="6"/>
        <w:spacing w:beforeLines="0" w:afterLines="0"/>
        <w:rPr>
          <w:rFonts w:hint="eastAsia"/>
          <w:sz w:val="21"/>
          <w:szCs w:val="24"/>
        </w:rPr>
      </w:pPr>
      <w:r>
        <w:rPr>
          <w:rFonts w:hint="default" w:ascii="Times New Roman" w:hAnsi="Times New Roman" w:eastAsia="Times New Roman"/>
          <w:b/>
          <w:sz w:val="21"/>
          <w:szCs w:val="24"/>
        </w:rPr>
        <w:t>Energy Conversion Standard</w:t>
      </w:r>
      <w:r>
        <w:rPr>
          <w:rFonts w:hint="eastAsia"/>
          <w:sz w:val="21"/>
          <w:szCs w:val="24"/>
        </w:rPr>
        <w:t xml:space="preserve">  Different units are often used to compute different caloric value of various energy sources, so a uniform standard computing unit has to be conversed to summarize, compare and analyze energy. There are two standard computing units practiced internationally: one is standard coal and the other is standard oil. Currently, standard coal is adopted as the computing unit in China for energy calculation, Standard coal also call calorie value equivalent, it refers a uniform standard energy of communistically unit is converted into by differed kinds, different caloric value of various energy .Every kind of energy is converted into standard coal according to one kilogram standard coal quail caloric of 7,000 kilocalories. </w:t>
      </w:r>
    </w:p>
    <w:p w14:paraId="21C301F8">
      <w:pPr>
        <w:pStyle w:val="6"/>
        <w:spacing w:beforeLines="0" w:afterLines="0"/>
        <w:rPr>
          <w:rFonts w:hint="eastAsia"/>
          <w:sz w:val="21"/>
          <w:szCs w:val="24"/>
        </w:rPr>
      </w:pPr>
      <w:r>
        <w:rPr>
          <w:rFonts w:hint="default" w:ascii="Times New Roman" w:hAnsi="Times New Roman" w:eastAsia="Times New Roman"/>
          <w:b/>
          <w:sz w:val="21"/>
          <w:szCs w:val="24"/>
        </w:rPr>
        <w:t>Equivalent Caloricity</w:t>
      </w:r>
      <w:r>
        <w:rPr>
          <w:rFonts w:hint="eastAsia"/>
          <w:sz w:val="21"/>
          <w:szCs w:val="24"/>
        </w:rPr>
        <w:t xml:space="preserve">  also called theoretic caloricity (or actual calorific value) refers to the heat value contained in one measurement unit of certain energy. The calculation of the heat value is according to the actual measurement of the heat released by complete burning of the test specimen in the cylinder filled with oxygen (container with the oxygen bomb immersed by water). </w:t>
      </w:r>
    </w:p>
    <w:p w14:paraId="43A1F496">
      <w:pPr>
        <w:pStyle w:val="6"/>
        <w:spacing w:beforeLines="0" w:afterLines="0"/>
        <w:rPr>
          <w:rFonts w:hint="eastAsia"/>
          <w:sz w:val="21"/>
          <w:szCs w:val="24"/>
        </w:rPr>
      </w:pPr>
      <w:r>
        <w:rPr>
          <w:rFonts w:hint="default" w:ascii="Times New Roman" w:hAnsi="Times New Roman" w:eastAsia="Times New Roman"/>
          <w:b/>
          <w:sz w:val="21"/>
          <w:szCs w:val="24"/>
        </w:rPr>
        <w:t>Equivalent Heat Value</w:t>
      </w:r>
      <w:r>
        <w:rPr>
          <w:rFonts w:hint="eastAsia"/>
          <w:sz w:val="21"/>
          <w:szCs w:val="24"/>
        </w:rPr>
        <w:t xml:space="preserve">  refers to certain secondary energy produced by conversion and its equivalent value of corresponding input of the primary energy, which means the quantity of the primary energy expressed by heat value and consumed to obtain one measurement unit of certain secondary energy. It is variation value. With the advancement of the energy conversion technology and the improvement of the energy management, the conversion loss becomes less and less, and the equivalent heat value will reduce gradually. Equivalent heat value is specific to secondary energy and consumed actuating medium, so when it comes into primary energy, there is no equivalent heat value. </w:t>
      </w:r>
    </w:p>
    <w:p w14:paraId="3434C01D">
      <w:pPr>
        <w:pStyle w:val="6"/>
        <w:spacing w:beforeLines="0" w:afterLines="0"/>
        <w:rPr>
          <w:rFonts w:hint="eastAsia"/>
          <w:sz w:val="21"/>
          <w:szCs w:val="24"/>
        </w:rPr>
      </w:pPr>
      <w:r>
        <w:rPr>
          <w:rFonts w:hint="eastAsia"/>
          <w:sz w:val="21"/>
          <w:szCs w:val="24"/>
        </w:rPr>
        <w:t xml:space="preserve">Equivalent Heat Value = Energy Content of Secondary Energy÷Conversion Efficiency </w:t>
      </w:r>
    </w:p>
    <w:p w14:paraId="3F5876DF">
      <w:pPr>
        <w:pStyle w:val="6"/>
        <w:spacing w:beforeLines="0" w:afterLines="0"/>
        <w:rPr>
          <w:rFonts w:hint="eastAsia"/>
          <w:sz w:val="21"/>
          <w:szCs w:val="24"/>
        </w:rPr>
      </w:pPr>
      <w:r>
        <w:rPr>
          <w:rFonts w:hint="eastAsia"/>
          <w:sz w:val="21"/>
          <w:szCs w:val="24"/>
        </w:rPr>
        <w:t xml:space="preserve">Conversion Efficiency = Output Standardized Quantity of Secondary Energy ÷ Energy Standardized Quantity Input by Conversion </w:t>
      </w:r>
    </w:p>
    <w:p w14:paraId="01945221">
      <w:pPr>
        <w:pStyle w:val="6"/>
        <w:spacing w:beforeLines="0" w:afterLines="0"/>
        <w:rPr>
          <w:rFonts w:hint="eastAsia"/>
          <w:sz w:val="21"/>
          <w:szCs w:val="24"/>
        </w:rPr>
      </w:pPr>
      <w:r>
        <w:rPr>
          <w:rFonts w:hint="default" w:ascii="Times New Roman" w:hAnsi="Times New Roman" w:eastAsia="Times New Roman"/>
          <w:b/>
          <w:sz w:val="21"/>
          <w:szCs w:val="24"/>
        </w:rPr>
        <w:t>Consumption of Raw Materials and Energy</w:t>
      </w:r>
      <w:r>
        <w:rPr>
          <w:rFonts w:hint="eastAsia"/>
          <w:sz w:val="21"/>
          <w:szCs w:val="24"/>
        </w:rPr>
        <w:t xml:space="preserve">  refers to the quantity of raw materials and energy actually used in the report period. It includes the volume actually used in the main business line and sideline activities of an enterprise. The calculation principle of consumption is: “The one who consumes energy is responsible for conducting statistics on its consumption”, i.e., statistics is made according to the use right. The calculation method is that when raw materials or energy enter the first production sequence and the original form or property is changed or they are put into actual use, they are treated as consumption statistics. </w:t>
      </w:r>
    </w:p>
    <w:p w14:paraId="5D65E8FF">
      <w:pPr>
        <w:tabs>
          <w:tab w:val="left" w:pos="3572"/>
        </w:tabs>
        <w:bidi w:val="0"/>
        <w:jc w:val="left"/>
        <w:rPr>
          <w:lang w:val="en-US" w:eastAsia="zh-CN"/>
        </w:rPr>
      </w:pPr>
      <w:r>
        <w:rPr>
          <w:rFonts w:hint="default" w:ascii="Times New Roman" w:hAnsi="Times New Roman" w:eastAsia="Times New Roman"/>
          <w:b/>
          <w:sz w:val="21"/>
          <w:szCs w:val="24"/>
        </w:rPr>
        <w:t xml:space="preserve">Inventory of Raw Materials and Energy </w:t>
      </w:r>
      <w:r>
        <w:rPr>
          <w:rFonts w:hint="eastAsia"/>
          <w:sz w:val="21"/>
          <w:szCs w:val="24"/>
        </w:rPr>
        <w:t xml:space="preserve"> refers to the quantity of raw materials and energy actually stored in the beginning and end of the report period. The calculation principle of inventory is, “The one who disposes energy is responsible for conducting statistics on its inventory”, i.e., statistics is made according to the ownership. The calculation method refers to the quantity of raw materials and energy actually stored at a certain time that can be disposed by an enterprise.</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dobe 宋体 Std L">
    <w:panose1 w:val="02020300000000000000"/>
    <w:charset w:val="86"/>
    <w:family w:val="auto"/>
    <w:pitch w:val="default"/>
    <w:sig w:usb0="00000001" w:usb1="0A0F1810" w:usb2="00000016" w:usb3="00000000" w:csb0="00060007" w:csb1="00000000"/>
  </w:font>
  <w:font w:name="方正大标宋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ATC-6b636587*1">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81E57C5"/>
    <w:rsid w:val="2B9E0B00"/>
    <w:rsid w:val="30F6671B"/>
    <w:rsid w:val="31087323"/>
    <w:rsid w:val="377B2F74"/>
    <w:rsid w:val="48FA4163"/>
    <w:rsid w:val="4B5303AB"/>
    <w:rsid w:val="545D14A3"/>
    <w:rsid w:val="61666E4D"/>
    <w:rsid w:val="6CDF233B"/>
    <w:rsid w:val="6D2D13E9"/>
    <w:rsid w:val="76E85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auto"/>
      <w:kern w:val="2"/>
      <w:sz w:val="24"/>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 w:type="paragraph" w:customStyle="1" w:styleId="5">
    <w:name w:val="[基本段落]"/>
    <w:basedOn w:val="4"/>
    <w:unhideWhenUsed/>
    <w:uiPriority w:val="99"/>
    <w:pPr>
      <w:spacing w:beforeLines="0" w:afterLines="0"/>
    </w:pPr>
    <w:rPr>
      <w:rFonts w:hint="eastAsia"/>
      <w:sz w:val="24"/>
    </w:rPr>
  </w:style>
  <w:style w:type="paragraph" w:customStyle="1" w:styleId="6">
    <w:name w:val="正文1"/>
    <w:basedOn w:val="4"/>
    <w:unhideWhenUsed/>
    <w:uiPriority w:val="99"/>
    <w:pPr>
      <w:spacing w:beforeLines="0" w:afterLines="0" w:line="360" w:lineRule="atLeast"/>
    </w:pPr>
    <w:rPr>
      <w:rFonts w:hint="eastAsia" w:ascii="ATC-6b636587*1" w:hAnsi="ATC-6b636587*1" w:eastAsia="ATC-6b636587*1"/>
      <w:sz w:val="21"/>
      <w:szCs w:val="24"/>
    </w:rPr>
  </w:style>
  <w:style w:type="character" w:customStyle="1" w:styleId="7">
    <w:name w:val="黑体（正文）"/>
    <w:unhideWhenUsed/>
    <w:uiPriority w:val="99"/>
    <w:rPr>
      <w:rFonts w:hint="eastAsia" w:ascii="方正黑体_GBK" w:hAnsi="方正黑体_GBK" w:eastAsia="方正黑体_GBK"/>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云南省人民政府</Company>
  <Pages>14</Pages>
  <Words>6867</Words>
  <Characters>19614</Characters>
  <Lines>0</Lines>
  <Paragraphs>0</Paragraphs>
  <TotalTime>1</TotalTime>
  <ScaleCrop>false</ScaleCrop>
  <LinksUpToDate>false</LinksUpToDate>
  <CharactersWithSpaces>22440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2022-08-01T07:33:00Z</dcterms:created>
  <dc:creator>gd</dc:creator>
  <cp:lastModifiedBy>WPS_1581306097</cp:lastModifiedBy>
  <dcterms:modified xsi:type="dcterms:W3CDTF">2025-05-23T07:41:28Z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eyJoZGlkIjoiOWQzOTg2Y2YyYjY4NzJjMjdhODU4YmRjOTgyZjRjNjQiLCJ1c2VySWQiOiI4MTU0MDk0ODcifQ==</vt:lpwstr>
  </property>
  <property fmtid="{D5CDD505-2E9C-101B-9397-08002B2CF9AE}" pid="4" name="ICV">
    <vt:lpwstr>1CFAC3CE7C15463FA1FF3467AC1934BD_12</vt:lpwstr>
  </property>
</Properties>
</file>