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9BD2E">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14:paraId="3EF02E5A">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建筑业统计单位 指从事房屋、构筑物建造和设备安装活动的法人企业。 建筑业法人企业应具有建筑业资质并能够独立核算，同时还应具备以下条件：①依法成立，有自己的名称、组织机构和场所，能够承担民事责任；②独立拥有和使用资产，承担负债，有权与其他单位签订合同；③独立核算盈亏，能够编制资产负债表。</w:t>
      </w:r>
    </w:p>
    <w:p w14:paraId="2497905B">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建筑业总产值 是以货币形式表现的建筑业企业在一定时期内生产的建筑业产品和提供服务的总和。</w:t>
      </w:r>
    </w:p>
    <w:p w14:paraId="44AE8131">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建筑业总产值包括：</w:t>
      </w:r>
    </w:p>
    <w:p w14:paraId="59E637A2">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（1）建筑工程产值：指列入建筑工程预算内的各种工程价值。</w:t>
      </w:r>
    </w:p>
    <w:p w14:paraId="0D5CF39F">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（2）安装工程产值：指设备安装工程价值以及将预制部品部件安装成建筑工程产品的价值，不包括被安装设备、被安装部品部件本身的价值。</w:t>
      </w:r>
    </w:p>
    <w:p w14:paraId="6C5AFFB2">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（3）其他产值：建筑业总产值中除建筑工程、安装工程以外的产值。包括房屋构筑物修理产值、非标准设备制造产值、总包企业向分包企业收取的管理费，以及不能明确划分的施工活动所完成的产值。</w:t>
      </w:r>
    </w:p>
    <w:p w14:paraId="7D426C5B">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a.房屋构筑物修理产值：指房屋和构筑物修理所完成的产值，但不包括被修理房屋、构筑物本身价值和生产设备的修理价值。</w:t>
      </w:r>
    </w:p>
    <w:p w14:paraId="14A1370A">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b.非标准设备制造产值：指加工制造没有定型的非标准生产设备的加工费和原材料价值（如化工厂、炼油厂用的各种罐、槽，矿井生产统一使用的各种漏斗、三角槽、阀门等）以及附属加工厂为本企业承担工程制作的非标准设备的价值。</w:t>
      </w:r>
    </w:p>
    <w:p w14:paraId="3B1A82E7">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房屋施工面积 指在报告期内施工的全部房屋建筑面积，包括本期新开工的房屋面积、上期施工跨入本期继续施工的房屋面积、上期停缓建在本期恢复施工的房屋面积、本期竣工的房屋面积及本期施工后又停缓建的房屋面积。</w:t>
      </w:r>
    </w:p>
    <w:p w14:paraId="619DADA2">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房屋竣工面积 指在报告期内房屋建筑按照设计要求全部完工，达到了住人和使用条件，经验收鉴定合格，正式移交使用单位的房屋建筑面积。</w:t>
      </w:r>
    </w:p>
    <w:p w14:paraId="2E194FD6">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营业收入 指企业经营主要业务和其他业务所确认的收入总额。包括主营业务收入与其他业务收入。</w:t>
      </w:r>
    </w:p>
    <w:p w14:paraId="697C5F25">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主营业务收入 指企业确认的销售商品、提供服务等主营业务收入。</w:t>
      </w:r>
    </w:p>
    <w:p w14:paraId="477715B1">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利润总额 指企业在一定会计期间的经营成果，是生产经营过程中各种收入扣除各种耗费后的盈余，反映企业在报告期内实现的盈亏总额。</w:t>
      </w:r>
    </w:p>
    <w:p w14:paraId="15827675">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产值利税率 是指报告期内企业实现的利润总额与上缴税金的和占同期建筑业总产值的百分比。</w:t>
      </w:r>
    </w:p>
    <w:p w14:paraId="723EEB30">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房地产开发投资 指各种登记注册类型的房地产开发法人单位统一开发的住宅、厂房、仓库、饭店、宾馆、度假村、写字楼、办公楼等房屋建筑物,配套的服务设施，土地开发工程（如道路、给水、排水、供电、供热、通讯、平整场地等基础设施工程）和土地购置的投资；不包括单纯的土地开发和交易活动。</w:t>
      </w:r>
    </w:p>
    <w:p w14:paraId="6E9D262B">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商品房销售面积 指报告期内出售商品房屋的合同总面积(即双方签署的正式买卖合同中所确定的建筑面积)。商品房销售面积由现房销售建筑面积和期房销售建筑面积两部分组成。</w:t>
      </w:r>
    </w:p>
    <w:p w14:paraId="5D9A6005">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商品房销售额 指报告期内出售商品房屋的合同总价款(即双方签署的正式买卖合同中所确定的合同总价)。该指标与商品房销售面积同口径，由现房销售额和期房销售额两部分组成。</w:t>
      </w:r>
    </w:p>
    <w:p w14:paraId="3C8122EC">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不可销售面积 指报告期房地产公司竣工的用于拆迁还建的房屋面积；接受委托、定向开发建设，并收取一定的管理费所建设的统建代建房屋竣工面积；竣工的学校、幼儿园、派出所、居委会、商店等公益设施建筑面积。</w:t>
      </w:r>
    </w:p>
    <w:p w14:paraId="4D7F6FFC">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待售面积 指报告期末已竣工的可供销售或出租的商品房屋建筑面积中，尚未销售或出租的商品房屋建筑面积，包括以前年度竣工和本期竣工的房屋面积，但不包括报告期已竣工的拆迁还建、统建代建、公共配套建筑、房地产公司自用及周转房等不可销售或出租的房屋面积。按照商品房待售时间的长短可以划分为待售一年以下、待售一至三年（含一年）和待售三年以上（含三年）。</w:t>
      </w:r>
    </w:p>
    <w:p w14:paraId="524FF4AF">
      <w:pPr>
        <w:pStyle w:val="5"/>
        <w:spacing w:beforeLines="0" w:afterLines="0"/>
        <w:rPr>
          <w:rFonts w:hint="eastAsia" w:ascii="方正书宋_GBK" w:hAnsi="方正书宋_GBK" w:eastAsia="方正书宋_GBK"/>
          <w:sz w:val="21"/>
        </w:rPr>
      </w:pPr>
    </w:p>
    <w:p w14:paraId="04498E9E">
      <w:pPr>
        <w:pStyle w:val="5"/>
        <w:spacing w:beforeLines="0" w:afterLines="0"/>
        <w:rPr>
          <w:rFonts w:hint="eastAsia" w:ascii="方正书宋_GBK" w:hAnsi="方正书宋_GBK" w:eastAsia="方正书宋_GBK"/>
          <w:sz w:val="21"/>
        </w:rPr>
      </w:pPr>
    </w:p>
    <w:p w14:paraId="71B4011E">
      <w:pPr>
        <w:pStyle w:val="5"/>
        <w:spacing w:beforeLines="0" w:afterLines="0"/>
        <w:rPr>
          <w:rFonts w:hint="eastAsia" w:ascii="方正书宋_GBK" w:hAnsi="方正书宋_GBK" w:eastAsia="方正书宋_GBK"/>
          <w:sz w:val="21"/>
        </w:rPr>
      </w:pPr>
    </w:p>
    <w:p w14:paraId="76C347F5">
      <w:pPr>
        <w:pStyle w:val="5"/>
        <w:spacing w:beforeLines="0" w:afterLines="0"/>
        <w:rPr>
          <w:rFonts w:hint="eastAsia" w:ascii="方正书宋_GBK" w:hAnsi="方正书宋_GBK" w:eastAsia="方正书宋_GBK"/>
          <w:sz w:val="21"/>
        </w:rPr>
      </w:pPr>
    </w:p>
    <w:p w14:paraId="0B4CA374">
      <w:pPr>
        <w:pStyle w:val="5"/>
        <w:spacing w:beforeLines="0" w:afterLines="0"/>
        <w:rPr>
          <w:rFonts w:hint="eastAsia" w:ascii="方正书宋_GBK" w:hAnsi="方正书宋_GBK" w:eastAsia="方正书宋_GBK"/>
          <w:sz w:val="21"/>
        </w:rPr>
      </w:pPr>
    </w:p>
    <w:p w14:paraId="43B21F70">
      <w:pPr>
        <w:pStyle w:val="5"/>
        <w:spacing w:beforeLines="0" w:afterLines="0"/>
        <w:rPr>
          <w:rFonts w:hint="eastAsia" w:ascii="方正书宋_GBK" w:hAnsi="方正书宋_GBK" w:eastAsia="方正书宋_GBK"/>
          <w:sz w:val="21"/>
        </w:rPr>
      </w:pPr>
    </w:p>
    <w:p w14:paraId="61E6D030">
      <w:pPr>
        <w:pStyle w:val="5"/>
        <w:spacing w:beforeLines="0" w:afterLines="0"/>
        <w:rPr>
          <w:rFonts w:hint="eastAsia" w:ascii="方正书宋_GBK" w:hAnsi="方正书宋_GBK" w:eastAsia="方正书宋_GBK"/>
          <w:sz w:val="21"/>
        </w:rPr>
      </w:pPr>
    </w:p>
    <w:p w14:paraId="57199E40">
      <w:pPr>
        <w:pStyle w:val="5"/>
        <w:spacing w:beforeLines="0" w:afterLines="0"/>
        <w:rPr>
          <w:rFonts w:hint="eastAsia" w:ascii="方正书宋_GBK" w:hAnsi="方正书宋_GBK" w:eastAsia="方正书宋_GBK"/>
          <w:sz w:val="21"/>
        </w:rPr>
      </w:pPr>
    </w:p>
    <w:p w14:paraId="51D95C05">
      <w:pPr>
        <w:pStyle w:val="5"/>
        <w:spacing w:beforeLines="0" w:afterLines="0"/>
        <w:rPr>
          <w:rFonts w:hint="eastAsia" w:ascii="方正书宋_GBK" w:hAnsi="方正书宋_GBK" w:eastAsia="方正书宋_GBK"/>
          <w:sz w:val="21"/>
        </w:rPr>
      </w:pPr>
    </w:p>
    <w:p w14:paraId="37955B4C">
      <w:pPr>
        <w:pStyle w:val="5"/>
        <w:spacing w:beforeLines="0" w:afterLines="0"/>
        <w:rPr>
          <w:rFonts w:hint="eastAsia" w:ascii="方正书宋_GBK" w:hAnsi="方正书宋_GBK" w:eastAsia="方正书宋_GBK"/>
          <w:sz w:val="21"/>
        </w:rPr>
      </w:pPr>
    </w:p>
    <w:p w14:paraId="7F666733">
      <w:pPr>
        <w:pStyle w:val="5"/>
        <w:spacing w:beforeLines="0" w:afterLines="0"/>
        <w:rPr>
          <w:rFonts w:hint="eastAsia" w:ascii="方正书宋_GBK" w:hAnsi="方正书宋_GBK" w:eastAsia="方正书宋_GBK"/>
          <w:sz w:val="21"/>
        </w:rPr>
      </w:pPr>
    </w:p>
    <w:p w14:paraId="675ECF48">
      <w:pPr>
        <w:pStyle w:val="5"/>
        <w:spacing w:beforeLines="0" w:afterLines="0"/>
        <w:rPr>
          <w:rFonts w:hint="eastAsia" w:ascii="方正书宋_GBK" w:hAnsi="方正书宋_GBK" w:eastAsia="方正书宋_GBK"/>
          <w:sz w:val="21"/>
        </w:rPr>
      </w:pPr>
    </w:p>
    <w:p w14:paraId="4863B691">
      <w:pPr>
        <w:pStyle w:val="5"/>
        <w:spacing w:beforeLines="0" w:afterLines="0"/>
        <w:rPr>
          <w:rFonts w:hint="eastAsia" w:ascii="方正书宋_GBK" w:hAnsi="方正书宋_GBK" w:eastAsia="方正书宋_GBK"/>
          <w:sz w:val="21"/>
        </w:rPr>
      </w:pPr>
    </w:p>
    <w:p w14:paraId="018F3AA7">
      <w:pPr>
        <w:pStyle w:val="5"/>
        <w:spacing w:beforeLines="0" w:afterLines="0"/>
        <w:rPr>
          <w:rFonts w:hint="eastAsia" w:ascii="方正书宋_GBK" w:hAnsi="方正书宋_GBK" w:eastAsia="方正书宋_GBK"/>
          <w:sz w:val="21"/>
        </w:rPr>
      </w:pPr>
    </w:p>
    <w:p w14:paraId="4961A94B">
      <w:pPr>
        <w:pStyle w:val="5"/>
        <w:spacing w:beforeLines="0" w:afterLines="0"/>
        <w:rPr>
          <w:rFonts w:hint="eastAsia" w:ascii="方正书宋_GBK" w:hAnsi="方正书宋_GBK" w:eastAsia="方正书宋_GBK"/>
          <w:sz w:val="21"/>
        </w:rPr>
      </w:pPr>
    </w:p>
    <w:p w14:paraId="65A435C3">
      <w:pPr>
        <w:pStyle w:val="5"/>
        <w:spacing w:beforeLines="0" w:afterLines="0"/>
        <w:rPr>
          <w:rFonts w:hint="eastAsia" w:ascii="方正书宋_GBK" w:hAnsi="方正书宋_GBK" w:eastAsia="方正书宋_GBK"/>
          <w:sz w:val="21"/>
        </w:rPr>
      </w:pPr>
    </w:p>
    <w:p w14:paraId="5400629F">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Main Statistical Indicators</w:t>
      </w:r>
    </w:p>
    <w:p w14:paraId="0A12E662">
      <w:pPr>
        <w:rPr>
          <w:rFonts w:hint="default" w:ascii="Times New Roman" w:hAnsi="Times New Roman" w:eastAsia="Times New Roman"/>
          <w:spacing w:val="2"/>
          <w:sz w:val="21"/>
        </w:rPr>
      </w:pPr>
      <w:bookmarkStart w:id="0" w:name="_GoBack"/>
      <w:bookmarkEnd w:id="0"/>
      <w:r>
        <w:rPr>
          <w:rFonts w:hint="default" w:ascii="Times New Roman" w:hAnsi="Times New Roman" w:eastAsia="Times New Roman"/>
          <w:spacing w:val="2"/>
          <w:sz w:val="21"/>
        </w:rPr>
        <w:t>Statistical Unit in Construction Industry refers to a corporate enterprise engaged in the construction of buildings and structures and in the installation of equipment. A corporate construction enterprise should have qualification certificates with independent accounting system, and should meet the following 3 requirements: ① being set up in line with relevant legal basis, having its full name, organization and location, and capable of taking civil liabilities; ② independently possessing and using its assets and assuming its liabilities, and entitled to sign contracts with other institutions; ③ making independent accounts of its profits and losses, and capable of compiling its own balance sheet.</w:t>
      </w:r>
    </w:p>
    <w:p w14:paraId="447E1C1A">
      <w:pPr>
        <w:rPr>
          <w:rFonts w:hint="default" w:ascii="Times New Roman" w:hAnsi="Times New Roman" w:eastAsia="Times New Roman"/>
          <w:spacing w:val="2"/>
          <w:sz w:val="21"/>
        </w:rPr>
      </w:pPr>
      <w:r>
        <w:rPr>
          <w:rFonts w:hint="default" w:ascii="Times New Roman" w:hAnsi="Times New Roman" w:eastAsia="Times New Roman"/>
          <w:spacing w:val="2"/>
          <w:sz w:val="21"/>
        </w:rPr>
        <w:t>Gross Output Value of Construction refers to total of construction products and services, expressed in money terms, produced or rendered by construction and installation enterprises during a given period of time. It includes:</w:t>
      </w:r>
    </w:p>
    <w:p w14:paraId="663770E6">
      <w:pPr>
        <w:rPr>
          <w:rFonts w:hint="default" w:ascii="Times New Roman" w:hAnsi="Times New Roman" w:eastAsia="Times New Roman"/>
          <w:spacing w:val="2"/>
          <w:sz w:val="21"/>
        </w:rPr>
      </w:pPr>
      <w:r>
        <w:rPr>
          <w:rFonts w:hint="default" w:ascii="Times New Roman" w:hAnsi="Times New Roman" w:eastAsia="Times New Roman"/>
          <w:spacing w:val="2"/>
          <w:sz w:val="21"/>
        </w:rPr>
        <w:t>Output value of construction projects: the value of projects covered by the project budgets;</w:t>
      </w:r>
    </w:p>
    <w:p w14:paraId="33B9661D">
      <w:pPr>
        <w:rPr>
          <w:rFonts w:hint="default" w:ascii="Times New Roman" w:hAnsi="Times New Roman" w:eastAsia="Times New Roman"/>
          <w:spacing w:val="2"/>
          <w:sz w:val="21"/>
        </w:rPr>
      </w:pPr>
      <w:r>
        <w:rPr>
          <w:rFonts w:hint="default" w:ascii="Times New Roman" w:hAnsi="Times New Roman" w:eastAsia="Times New Roman"/>
          <w:spacing w:val="2"/>
          <w:sz w:val="21"/>
        </w:rPr>
        <w:t>Output value of installation projects: the value of the installation of equipment (excluding the value of the equipment to be installed);</w:t>
      </w:r>
    </w:p>
    <w:p w14:paraId="5E14A6EF">
      <w:pPr>
        <w:rPr>
          <w:rFonts w:hint="default" w:ascii="Times New Roman" w:hAnsi="Times New Roman" w:eastAsia="Times New Roman"/>
          <w:spacing w:val="2"/>
          <w:sz w:val="21"/>
        </w:rPr>
      </w:pPr>
      <w:r>
        <w:rPr>
          <w:rFonts w:hint="default" w:ascii="Times New Roman" w:hAnsi="Times New Roman" w:eastAsia="Times New Roman"/>
          <w:spacing w:val="2"/>
          <w:sz w:val="21"/>
        </w:rPr>
        <w:t>Other output values: the output value of construction industry apart from that of construction projects and installation projects. It includes: output value of repair of buildings and structures; output value of non-standard equipment manufacturing; overhead expenses received by contracted enterprises from the sub-contracted enterprises and the completed output value of construction activities for which there is no clear definition.</w:t>
      </w:r>
    </w:p>
    <w:p w14:paraId="5F991EB0">
      <w:pPr>
        <w:rPr>
          <w:rFonts w:hint="default" w:ascii="Times New Roman" w:hAnsi="Times New Roman" w:eastAsia="Times New Roman"/>
          <w:spacing w:val="2"/>
          <w:sz w:val="21"/>
        </w:rPr>
      </w:pPr>
      <w:r>
        <w:rPr>
          <w:rFonts w:hint="default" w:ascii="Times New Roman" w:hAnsi="Times New Roman" w:eastAsia="Times New Roman"/>
          <w:spacing w:val="2"/>
          <w:sz w:val="21"/>
        </w:rPr>
        <w:t>a.Output value of repair of buildings and structures: the value created through the repair of building or structures. It does not include the value of buildings or structures being repaired and the value of the repair of production equipment.</w:t>
      </w:r>
    </w:p>
    <w:p w14:paraId="72A605AB">
      <w:pPr>
        <w:rPr>
          <w:rFonts w:hint="default" w:ascii="Times New Roman" w:hAnsi="Times New Roman" w:eastAsia="Times New Roman"/>
          <w:spacing w:val="2"/>
          <w:sz w:val="21"/>
        </w:rPr>
      </w:pPr>
      <w:r>
        <w:rPr>
          <w:rFonts w:hint="default" w:ascii="Times New Roman" w:hAnsi="Times New Roman" w:eastAsia="Times New Roman"/>
          <w:spacing w:val="2"/>
          <w:sz w:val="21"/>
        </w:rPr>
        <w:t>b.Output value of manufactured non-standard equipment: the value of non-standard production equipment,including raw materials and manufacturing cost, made for the construction project(i.e., chemical plant; kettles or tanks used by refineries; various fillers, triangle tanks, valve used by mine). It also includes the output value of equipment manufactured by subsidiary workshops.</w:t>
      </w:r>
    </w:p>
    <w:p w14:paraId="4CE44930">
      <w:pPr>
        <w:rPr>
          <w:rFonts w:hint="default" w:ascii="Times New Roman" w:hAnsi="Times New Roman" w:eastAsia="Times New Roman"/>
          <w:spacing w:val="2"/>
          <w:sz w:val="21"/>
        </w:rPr>
      </w:pPr>
      <w:r>
        <w:rPr>
          <w:rFonts w:hint="default" w:ascii="Times New Roman" w:hAnsi="Times New Roman" w:eastAsia="Times New Roman"/>
          <w:spacing w:val="2"/>
          <w:sz w:val="21"/>
        </w:rPr>
        <w:t>Floor Space of Buildings Under Construction refers to the floor space of buildings under construction during the report period, including newly started buildings, buildings started in the preceding period and continued during the current period, and buildings suspended in the preceding period but restarted in the current period, buildings completed during the current period, and buildings under construction and then suspended during the current period.</w:t>
      </w:r>
    </w:p>
    <w:p w14:paraId="181E7EE6">
      <w:pPr>
        <w:rPr>
          <w:rFonts w:hint="default" w:ascii="Times New Roman" w:hAnsi="Times New Roman" w:eastAsia="Times New Roman"/>
          <w:spacing w:val="2"/>
          <w:sz w:val="21"/>
        </w:rPr>
      </w:pPr>
      <w:r>
        <w:rPr>
          <w:rFonts w:hint="default" w:ascii="Times New Roman" w:hAnsi="Times New Roman" w:eastAsia="Times New Roman"/>
          <w:spacing w:val="2"/>
          <w:sz w:val="21"/>
        </w:rPr>
        <w:t>Floor Space of Buildings Completed refers to the floor space of buildings that are completed in the report period in accordance with the requirements of the design, up to the standard of putting them into use, and have been checked and accepted by concerned departments as qualified ones.</w:t>
      </w:r>
    </w:p>
    <w:p w14:paraId="0DEB9974">
      <w:pPr>
        <w:rPr>
          <w:rFonts w:hint="default" w:ascii="Times New Roman" w:hAnsi="Times New Roman" w:eastAsia="Times New Roman"/>
          <w:spacing w:val="2"/>
          <w:sz w:val="21"/>
        </w:rPr>
      </w:pPr>
      <w:r>
        <w:rPr>
          <w:rFonts w:hint="default" w:ascii="Times New Roman" w:hAnsi="Times New Roman" w:eastAsia="Times New Roman"/>
          <w:spacing w:val="2"/>
          <w:sz w:val="21"/>
        </w:rPr>
        <w:t>Operating Revenue refers to the sum of income from principal business and other business of enterprises, including income from settlement of projects and other operating income.</w:t>
      </w:r>
    </w:p>
    <w:p w14:paraId="7A80FA13">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Main Business Income refers to the income recognized by an enterprise from main business such as sale of commodities and rendering of service. </w:t>
      </w:r>
    </w:p>
    <w:p w14:paraId="03B6C63C">
      <w:pPr>
        <w:rPr>
          <w:rFonts w:hint="default" w:ascii="Times New Roman" w:hAnsi="Times New Roman" w:eastAsia="Times New Roman"/>
          <w:spacing w:val="2"/>
          <w:sz w:val="21"/>
        </w:rPr>
      </w:pPr>
      <w:r>
        <w:rPr>
          <w:rFonts w:hint="default" w:ascii="Times New Roman" w:hAnsi="Times New Roman" w:eastAsia="Times New Roman"/>
          <w:spacing w:val="2"/>
          <w:sz w:val="21"/>
        </w:rPr>
        <w:t>Total Profits refer to the operating result of an enterprise in certain accounting period. It is the surplus of all revenues deducting all costs in its production and operation, reflecting its total profit and loss realized in the reporting period.</w:t>
      </w:r>
    </w:p>
    <w:p w14:paraId="35A72E6A">
      <w:pPr>
        <w:rPr>
          <w:rFonts w:hint="default" w:ascii="Times New Roman" w:hAnsi="Times New Roman" w:eastAsia="Times New Roman"/>
          <w:spacing w:val="2"/>
          <w:sz w:val="21"/>
        </w:rPr>
      </w:pPr>
      <w:r>
        <w:rPr>
          <w:rFonts w:hint="default" w:ascii="Times New Roman" w:hAnsi="Times New Roman" w:eastAsia="Times New Roman"/>
          <w:spacing w:val="2"/>
          <w:sz w:val="21"/>
        </w:rPr>
        <w:t>Ratio of Profit to Output Value to profit and tax refers to the ratio of the total profits and tax to the gross output value of construction in the report period.</w:t>
      </w:r>
    </w:p>
    <w:p w14:paraId="27B336E0">
      <w:pPr>
        <w:rPr>
          <w:rFonts w:hint="default" w:ascii="Times New Roman" w:hAnsi="Times New Roman" w:eastAsia="Times New Roman"/>
          <w:spacing w:val="2"/>
          <w:sz w:val="21"/>
        </w:rPr>
      </w:pPr>
      <w:r>
        <w:rPr>
          <w:rFonts w:hint="default" w:ascii="Times New Roman" w:hAnsi="Times New Roman" w:eastAsia="Times New Roman"/>
          <w:spacing w:val="2"/>
          <w:sz w:val="21"/>
        </w:rPr>
        <w:t>Investment in Real Estate Development refers to investment by real estate development companies, commercialized buildings construction companies and other real estate development units of various types of ownership in the construction of buildings, such as residential buildings, factory buildings, warehouses, hotels, guesthouses, holiday villages, office buildings, and the complementary service facilities and land development projects, such as roads, water supply, water drainage, power supply, heating supply, telecommunications, land leveling and other infrastructural projects. It does not include activities in pure land transactions.</w:t>
      </w:r>
    </w:p>
    <w:p w14:paraId="796CAEE2">
      <w:pPr>
        <w:rPr>
          <w:rFonts w:hint="default" w:ascii="Times New Roman" w:hAnsi="Times New Roman" w:eastAsia="Times New Roman"/>
          <w:spacing w:val="2"/>
          <w:sz w:val="21"/>
        </w:rPr>
      </w:pPr>
      <w:r>
        <w:rPr>
          <w:rFonts w:hint="default" w:ascii="Times New Roman" w:hAnsi="Times New Roman" w:eastAsia="Times New Roman"/>
          <w:spacing w:val="2"/>
          <w:sz w:val="21"/>
        </w:rPr>
        <w:t>Area of Commercialized Housing Sold refers to total contracted area of commercialized housing (i.e. area of floor space as designated in the formal contracts signed by both sides) during the reference time.Area of commercialized housing sold constitutes floor space of completed housing and floor space of future housing.</w:t>
      </w:r>
    </w:p>
    <w:p w14:paraId="60DA31D6">
      <w:pPr>
        <w:rPr>
          <w:rFonts w:hint="default" w:ascii="Times New Roman" w:hAnsi="Times New Roman" w:eastAsia="Times New Roman"/>
          <w:spacing w:val="2"/>
          <w:sz w:val="21"/>
        </w:rPr>
      </w:pPr>
      <w:r>
        <w:rPr>
          <w:rFonts w:hint="default" w:ascii="Times New Roman" w:hAnsi="Times New Roman" w:eastAsia="Times New Roman"/>
          <w:spacing w:val="2"/>
          <w:sz w:val="21"/>
        </w:rPr>
        <w:t>Value of Commercialized Housing Sold refers to the total contracted value (i.e. value of sales/purchase for selling/purchase of commercialized housing as designated in the contract signed by both sides) during the reference time.This indicator has the same coverage as the area of commercialized housing sold, which constitutes floor space of completed housing and floor space of housing yet to be completed.</w:t>
      </w:r>
    </w:p>
    <w:p w14:paraId="0546DCA0">
      <w:pPr>
        <w:rPr>
          <w:rFonts w:hint="default" w:ascii="Times New Roman" w:hAnsi="Times New Roman" w:eastAsia="Times New Roman"/>
          <w:spacing w:val="2"/>
          <w:sz w:val="21"/>
        </w:rPr>
      </w:pPr>
      <w:r>
        <w:rPr>
          <w:rFonts w:hint="default" w:ascii="Times New Roman" w:hAnsi="Times New Roman" w:eastAsia="Times New Roman"/>
          <w:spacing w:val="2"/>
          <w:sz w:val="21"/>
        </w:rPr>
        <w:t>Non-Marketable Area refers to the building area used for removal and rebuilding which completed by real estate companies in reference period; completed building area of unified construction and acting construction which constructed by accepting commission, orientating development construction and charging certain management overhead; building area of completed schools, kindergartens, police stations, neighborhood committees, stores and such public utility constructions.</w:t>
      </w:r>
    </w:p>
    <w:p w14:paraId="0086E532">
      <w:r>
        <w:rPr>
          <w:rFonts w:hint="default" w:ascii="Times New Roman" w:hAnsi="Times New Roman" w:eastAsia="Times New Roman"/>
          <w:spacing w:val="2"/>
          <w:sz w:val="21"/>
        </w:rPr>
        <w:t xml:space="preserve">Floor Space of Vacant Building refers to the area of commercialized buildings haven't been sold or rent in the area of completed marketable and rentable commercialized buildings in the reference period, including the completed building area in the former years and in the current period, while excluding the completed removal and rebuilding buildings, unified and deputized construction buildings, public matched installations buildings and area of the buildings for self-use and revolving buildings of the real estate companies which are unmarketable or can't be rented. According to the vacant time, the buildings can be categorized as follows: buildings vacant less than one year, vacant for one to three years (including one year), vacant more than three years (including three years). </w:t>
      </w:r>
    </w:p>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 w:name="ATC-6b636587*1">
    <w:altName w:val="宋体"/>
    <w:panose1 w:val="00000000000000000000"/>
    <w:charset w:val="86"/>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F503900"/>
    <w:rsid w:val="281E57C5"/>
    <w:rsid w:val="2B9E0B00"/>
    <w:rsid w:val="30F6671B"/>
    <w:rsid w:val="31087323"/>
    <w:rsid w:val="31C12A46"/>
    <w:rsid w:val="377B2F74"/>
    <w:rsid w:val="48FA4163"/>
    <w:rsid w:val="4B5303AB"/>
    <w:rsid w:val="545D14A3"/>
    <w:rsid w:val="61666E4D"/>
    <w:rsid w:val="6CDF233B"/>
    <w:rsid w:val="74B42D6C"/>
    <w:rsid w:val="7D574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uiPriority w:val="99"/>
    <w:pPr>
      <w:spacing w:beforeLines="0" w:afterLines="0"/>
    </w:pPr>
    <w:rPr>
      <w:rFonts w:hint="eastAsia"/>
      <w:sz w:val="24"/>
    </w:rPr>
  </w:style>
  <w:style w:type="paragraph" w:customStyle="1" w:styleId="6">
    <w:name w:val="正文1"/>
    <w:basedOn w:val="4"/>
    <w:unhideWhenUsed/>
    <w:uiPriority w:val="99"/>
    <w:pPr>
      <w:spacing w:beforeLines="0" w:afterLines="0" w:line="360" w:lineRule="atLeast"/>
    </w:pPr>
    <w:rPr>
      <w:rFonts w:hint="eastAsia" w:ascii="ATC-6b636587*1" w:hAnsi="ATC-6b636587*1" w:eastAsia="ATC-6b636587*1"/>
      <w:sz w:val="21"/>
      <w:szCs w:val="24"/>
    </w:rPr>
  </w:style>
  <w:style w:type="character" w:customStyle="1" w:styleId="7">
    <w:name w:val="黑体（正文）"/>
    <w:unhideWhenUsed/>
    <w:uiPriority w:val="99"/>
    <w:rPr>
      <w:rFonts w:hint="eastAsia" w:ascii="方正黑体_GBK" w:hAnsi="方正黑体_GBK" w:eastAsia="方正黑体_GBK"/>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5</Pages>
  <Words>2357</Words>
  <Characters>6898</Characters>
  <Lines>0</Lines>
  <Paragraphs>0</Paragraphs>
  <TotalTime>1</TotalTime>
  <ScaleCrop>false</ScaleCrop>
  <LinksUpToDate>false</LinksUpToDate>
  <CharactersWithSpaces>7834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2022-08-01T07:34:00Z</dcterms:created>
  <dc:creator>gd</dc:creator>
  <cp:lastModifiedBy>WPS_1581306097</cp:lastModifiedBy>
  <dcterms:modified xsi:type="dcterms:W3CDTF">2025-05-23T07:44:26Z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eyJoZGlkIjoiOWQzOTg2Y2YyYjY4NzJjMjdhODU4YmRjOTgyZjRjNjQiLCJ1c2VySWQiOiI4MTU0MDk0ODcifQ==</vt:lpwstr>
  </property>
  <property fmtid="{D5CDD505-2E9C-101B-9397-08002B2CF9AE}" pid="4" name="ICV">
    <vt:lpwstr>E8EF5F2A0FA94825B9E2E458EB6230A5_12</vt:lpwstr>
  </property>
</Properties>
</file>