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autoSpaceDN/>
        <w:bidi w:val="0"/>
        <w:adjustRightInd/>
        <w:spacing w:line="560" w:lineRule="exact"/>
        <w:jc w:val="center"/>
        <w:rPr>
          <w:rFonts w:hint="default" w:ascii="Times New Roman" w:hAnsi="Times New Roman" w:eastAsia="方正小标宋简体" w:cs="Times New Roman"/>
          <w:bCs/>
          <w:color w:val="000000"/>
          <w:kern w:val="0"/>
          <w:sz w:val="52"/>
          <w:szCs w:val="52"/>
        </w:rPr>
      </w:pPr>
      <w:r>
        <w:rPr>
          <w:rFonts w:hint="default" w:ascii="Times New Roman" w:hAnsi="Times New Roman" w:eastAsia="方正小标宋简体" w:cs="Times New Roman"/>
          <w:bCs/>
          <w:color w:val="000000"/>
          <w:kern w:val="0"/>
          <w:sz w:val="52"/>
          <w:szCs w:val="52"/>
        </w:rPr>
        <w:t>云南省202</w:t>
      </w:r>
      <w:r>
        <w:rPr>
          <w:rFonts w:hint="default" w:ascii="Times New Roman" w:hAnsi="Times New Roman" w:eastAsia="方正小标宋简体" w:cs="Times New Roman"/>
          <w:bCs/>
          <w:color w:val="000000"/>
          <w:kern w:val="0"/>
          <w:sz w:val="52"/>
          <w:szCs w:val="52"/>
          <w:lang w:val="en-US" w:eastAsia="zh-CN"/>
        </w:rPr>
        <w:t>1</w:t>
      </w:r>
      <w:r>
        <w:rPr>
          <w:rFonts w:hint="default" w:ascii="Times New Roman" w:hAnsi="Times New Roman" w:eastAsia="方正小标宋简体" w:cs="Times New Roman"/>
          <w:bCs/>
          <w:color w:val="000000"/>
          <w:kern w:val="0"/>
          <w:sz w:val="52"/>
          <w:szCs w:val="52"/>
        </w:rPr>
        <w:t>年国民经济和</w:t>
      </w:r>
    </w:p>
    <w:p>
      <w:pPr>
        <w:keepNext w:val="0"/>
        <w:keepLines w:val="0"/>
        <w:pageBreakBefore w:val="0"/>
        <w:kinsoku/>
        <w:wordWrap/>
        <w:overflowPunct w:val="0"/>
        <w:topLinePunct w:val="0"/>
        <w:autoSpaceDE/>
        <w:autoSpaceDN/>
        <w:bidi w:val="0"/>
        <w:adjustRightInd/>
        <w:spacing w:line="560" w:lineRule="exact"/>
        <w:jc w:val="center"/>
        <w:rPr>
          <w:rStyle w:val="15"/>
          <w:rFonts w:hint="default" w:ascii="Times New Roman" w:hAnsi="Times New Roman" w:eastAsia="方正小标宋简体" w:cs="Times New Roman"/>
          <w:bCs/>
          <w:color w:val="000000"/>
          <w:kern w:val="0"/>
          <w:sz w:val="52"/>
          <w:szCs w:val="52"/>
        </w:rPr>
      </w:pPr>
      <w:r>
        <w:rPr>
          <w:rFonts w:hint="default" w:ascii="Times New Roman" w:hAnsi="Times New Roman" w:eastAsia="方正小标宋简体" w:cs="Times New Roman"/>
          <w:bCs/>
          <w:color w:val="000000"/>
          <w:kern w:val="0"/>
          <w:sz w:val="52"/>
          <w:szCs w:val="52"/>
        </w:rPr>
        <w:t>社会发展统计公报</w:t>
      </w:r>
      <w:r>
        <w:rPr>
          <w:rStyle w:val="15"/>
          <w:rFonts w:hint="default" w:ascii="Times New Roman" w:hAnsi="Times New Roman" w:eastAsia="方正小标宋简体" w:cs="Times New Roman"/>
          <w:bCs/>
          <w:color w:val="000000"/>
          <w:kern w:val="0"/>
          <w:sz w:val="52"/>
          <w:szCs w:val="52"/>
        </w:rPr>
        <w:t>[</w:t>
      </w:r>
      <w:r>
        <w:rPr>
          <w:rStyle w:val="15"/>
          <w:rFonts w:hint="default" w:ascii="Times New Roman" w:hAnsi="Times New Roman" w:eastAsia="方正小标宋简体" w:cs="Times New Roman"/>
          <w:bCs/>
          <w:color w:val="000000"/>
          <w:kern w:val="0"/>
          <w:sz w:val="52"/>
          <w:szCs w:val="52"/>
        </w:rPr>
        <w:endnoteReference w:id="0"/>
      </w:r>
      <w:r>
        <w:rPr>
          <w:rStyle w:val="15"/>
          <w:rFonts w:hint="default" w:ascii="Times New Roman" w:hAnsi="Times New Roman" w:eastAsia="方正小标宋简体" w:cs="Times New Roman"/>
          <w:bCs/>
          <w:color w:val="000000"/>
          <w:kern w:val="0"/>
          <w:sz w:val="52"/>
          <w:szCs w:val="52"/>
        </w:rPr>
        <w:t>]</w:t>
      </w:r>
    </w:p>
    <w:p>
      <w:pPr>
        <w:keepNext w:val="0"/>
        <w:keepLines w:val="0"/>
        <w:pageBreakBefore w:val="0"/>
        <w:kinsoku/>
        <w:wordWrap/>
        <w:overflowPunct w:val="0"/>
        <w:topLinePunct w:val="0"/>
        <w:autoSpaceDE/>
        <w:autoSpaceDN/>
        <w:bidi w:val="0"/>
        <w:adjustRightInd/>
        <w:spacing w:line="56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云  南  省  统  计  局</w:t>
      </w:r>
    </w:p>
    <w:p>
      <w:pPr>
        <w:keepNext w:val="0"/>
        <w:keepLines w:val="0"/>
        <w:pageBreakBefore w:val="0"/>
        <w:kinsoku/>
        <w:wordWrap/>
        <w:overflowPunct w:val="0"/>
        <w:topLinePunct w:val="0"/>
        <w:autoSpaceDE/>
        <w:autoSpaceDN/>
        <w:bidi w:val="0"/>
        <w:adjustRightInd/>
        <w:spacing w:line="560" w:lineRule="exact"/>
        <w:jc w:val="center"/>
        <w:rPr>
          <w:rFonts w:hint="default" w:ascii="Times New Roman" w:hAnsi="Times New Roman" w:eastAsia="楷体_GB2312" w:cs="Times New Roman"/>
          <w:bCs/>
          <w:kern w:val="0"/>
          <w:sz w:val="32"/>
          <w:szCs w:val="32"/>
          <w:vertAlign w:val="superscript"/>
        </w:rPr>
      </w:pPr>
      <w:r>
        <w:rPr>
          <w:rFonts w:hint="default" w:ascii="Times New Roman" w:hAnsi="Times New Roman" w:eastAsia="楷体_GB2312" w:cs="Times New Roman"/>
          <w:bCs/>
          <w:kern w:val="0"/>
          <w:sz w:val="32"/>
          <w:szCs w:val="32"/>
        </w:rPr>
        <w:t>国家统计局云南调查总队</w:t>
      </w:r>
    </w:p>
    <w:p>
      <w:pPr>
        <w:keepNext w:val="0"/>
        <w:keepLines w:val="0"/>
        <w:pageBreakBefore w:val="0"/>
        <w:kinsoku/>
        <w:wordWrap/>
        <w:overflowPunct w:val="0"/>
        <w:topLinePunct w:val="0"/>
        <w:autoSpaceDE/>
        <w:autoSpaceDN/>
        <w:bidi w:val="0"/>
        <w:adjustRightInd/>
        <w:spacing w:line="56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202</w:t>
      </w:r>
      <w:r>
        <w:rPr>
          <w:rFonts w:hint="default" w:ascii="Times New Roman" w:hAnsi="Times New Roman" w:eastAsia="楷体_GB2312" w:cs="Times New Roman"/>
          <w:bCs/>
          <w:kern w:val="0"/>
          <w:sz w:val="32"/>
          <w:szCs w:val="32"/>
          <w:lang w:val="en-US" w:eastAsia="zh-CN"/>
        </w:rPr>
        <w:t>2</w:t>
      </w:r>
      <w:r>
        <w:rPr>
          <w:rFonts w:hint="default" w:ascii="Times New Roman" w:hAnsi="Times New Roman" w:eastAsia="楷体_GB2312" w:cs="Times New Roman"/>
          <w:bCs/>
          <w:kern w:val="0"/>
          <w:sz w:val="32"/>
          <w:szCs w:val="32"/>
        </w:rPr>
        <w:t>年</w:t>
      </w:r>
      <w:r>
        <w:rPr>
          <w:rFonts w:hint="eastAsia" w:ascii="Times New Roman" w:hAnsi="Times New Roman" w:eastAsia="楷体_GB2312" w:cs="Times New Roman"/>
          <w:bCs/>
          <w:kern w:val="0"/>
          <w:sz w:val="32"/>
          <w:szCs w:val="32"/>
          <w:lang w:val="en-US" w:eastAsia="zh-CN"/>
        </w:rPr>
        <w:t>3</w:t>
      </w:r>
      <w:r>
        <w:rPr>
          <w:rFonts w:hint="default" w:ascii="Times New Roman" w:hAnsi="Times New Roman" w:eastAsia="楷体_GB2312" w:cs="Times New Roman"/>
          <w:bCs/>
          <w:kern w:val="0"/>
          <w:sz w:val="32"/>
          <w:szCs w:val="32"/>
        </w:rPr>
        <w:t>月</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方正仿宋简体" w:cs="Times New Roman"/>
          <w:color w:val="auto"/>
          <w:sz w:val="32"/>
          <w:szCs w:val="32"/>
        </w:rPr>
        <w:t>2021年</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面对繁重复杂的疫情防控</w:t>
      </w:r>
      <w:r>
        <w:rPr>
          <w:rFonts w:hint="default" w:ascii="Times New Roman" w:hAnsi="Times New Roman" w:eastAsia="方正仿宋简体" w:cs="Times New Roman"/>
          <w:color w:val="auto"/>
          <w:sz w:val="32"/>
          <w:szCs w:val="32"/>
          <w:lang w:eastAsia="zh-CN"/>
        </w:rPr>
        <w:t>任务</w:t>
      </w:r>
      <w:r>
        <w:rPr>
          <w:rFonts w:hint="default" w:ascii="Times New Roman" w:hAnsi="Times New Roman" w:eastAsia="方正仿宋简体" w:cs="Times New Roman"/>
          <w:color w:val="auto"/>
          <w:sz w:val="32"/>
          <w:szCs w:val="32"/>
        </w:rPr>
        <w:t>和</w:t>
      </w:r>
      <w:r>
        <w:rPr>
          <w:rFonts w:hint="default" w:ascii="Times New Roman" w:hAnsi="Times New Roman" w:eastAsia="方正仿宋简体" w:cs="Times New Roman"/>
          <w:color w:val="auto"/>
          <w:sz w:val="32"/>
          <w:szCs w:val="32"/>
          <w:lang w:eastAsia="zh-CN"/>
        </w:rPr>
        <w:t>多重困难挑战</w:t>
      </w:r>
      <w:r>
        <w:rPr>
          <w:rFonts w:hint="default" w:ascii="Times New Roman" w:hAnsi="Times New Roman" w:eastAsia="方正仿宋简体" w:cs="Times New Roman"/>
          <w:color w:val="auto"/>
          <w:sz w:val="32"/>
          <w:szCs w:val="32"/>
        </w:rPr>
        <w:t>叠加的</w:t>
      </w:r>
      <w:r>
        <w:rPr>
          <w:rFonts w:hint="default" w:ascii="Times New Roman" w:hAnsi="Times New Roman" w:eastAsia="方正仿宋简体" w:cs="Times New Roman"/>
          <w:color w:val="auto"/>
          <w:sz w:val="32"/>
          <w:szCs w:val="32"/>
          <w:lang w:eastAsia="zh-CN"/>
        </w:rPr>
        <w:t>经济</w:t>
      </w:r>
      <w:r>
        <w:rPr>
          <w:rFonts w:hint="default" w:ascii="Times New Roman" w:hAnsi="Times New Roman" w:eastAsia="方正仿宋简体" w:cs="Times New Roman"/>
          <w:color w:val="auto"/>
          <w:sz w:val="32"/>
          <w:szCs w:val="32"/>
        </w:rPr>
        <w:t>发展环境</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云南</w:t>
      </w:r>
      <w:r>
        <w:rPr>
          <w:rFonts w:hint="default" w:ascii="Times New Roman" w:hAnsi="Times New Roman" w:eastAsia="方正仿宋简体" w:cs="Times New Roman"/>
          <w:color w:val="auto"/>
          <w:sz w:val="32"/>
          <w:szCs w:val="32"/>
        </w:rPr>
        <w:t>坚持以习近平新时代中国特色社会主义思想为指导，</w:t>
      </w:r>
      <w:r>
        <w:rPr>
          <w:rFonts w:hint="eastAsia" w:ascii="Times New Roman" w:hAnsi="Times New Roman" w:eastAsia="方正仿宋简体" w:cs="Times New Roman"/>
          <w:color w:val="auto"/>
          <w:sz w:val="32"/>
          <w:szCs w:val="32"/>
          <w:lang w:eastAsia="zh-CN"/>
        </w:rPr>
        <w:t>把习近平总书记考察云南重要讲话和重要指示批示精神作为发展的总遵循、总纲领、总指引，</w:t>
      </w:r>
      <w:r>
        <w:rPr>
          <w:rFonts w:hint="default" w:ascii="Times New Roman" w:hAnsi="Times New Roman" w:eastAsia="方正仿宋简体" w:cs="Times New Roman"/>
          <w:color w:val="auto"/>
          <w:sz w:val="32"/>
          <w:szCs w:val="32"/>
          <w:lang w:eastAsia="zh-CN"/>
        </w:rPr>
        <w:t>全面</w:t>
      </w:r>
      <w:r>
        <w:rPr>
          <w:rFonts w:hint="default" w:ascii="Times New Roman" w:hAnsi="Times New Roman" w:eastAsia="方正仿宋简体" w:cs="Times New Roman"/>
          <w:color w:val="auto"/>
          <w:sz w:val="32"/>
          <w:szCs w:val="32"/>
        </w:rPr>
        <w:t>贯彻</w:t>
      </w:r>
      <w:r>
        <w:rPr>
          <w:rFonts w:hint="default" w:ascii="Times New Roman" w:hAnsi="Times New Roman" w:eastAsia="方正仿宋简体" w:cs="Times New Roman"/>
          <w:color w:val="auto"/>
          <w:sz w:val="32"/>
          <w:szCs w:val="32"/>
          <w:lang w:eastAsia="zh-CN"/>
        </w:rPr>
        <w:t>落实</w:t>
      </w:r>
      <w:r>
        <w:rPr>
          <w:rFonts w:hint="default" w:ascii="Times New Roman" w:hAnsi="Times New Roman" w:eastAsia="方正仿宋简体" w:cs="Times New Roman"/>
          <w:color w:val="auto"/>
          <w:sz w:val="32"/>
          <w:szCs w:val="32"/>
        </w:rPr>
        <w:t>党的十九大</w:t>
      </w:r>
      <w:r>
        <w:rPr>
          <w:rFonts w:hint="default" w:ascii="Times New Roman" w:hAnsi="Times New Roman" w:eastAsia="方正仿宋简体" w:cs="Times New Roman"/>
          <w:color w:val="auto"/>
          <w:sz w:val="32"/>
          <w:szCs w:val="32"/>
          <w:lang w:eastAsia="zh-CN"/>
        </w:rPr>
        <w:t>和十九届历次</w:t>
      </w:r>
      <w:r>
        <w:rPr>
          <w:rFonts w:hint="default" w:ascii="Times New Roman" w:hAnsi="Times New Roman" w:eastAsia="方正仿宋简体" w:cs="Times New Roman"/>
          <w:color w:val="auto"/>
          <w:sz w:val="32"/>
          <w:szCs w:val="32"/>
        </w:rPr>
        <w:t>全会精神</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科</w:t>
      </w:r>
      <w:r>
        <w:rPr>
          <w:rFonts w:hint="default" w:ascii="Times New Roman" w:hAnsi="Times New Roman" w:eastAsia="方正仿宋简体" w:cs="Times New Roman"/>
          <w:strike w:val="0"/>
          <w:dstrike w:val="0"/>
          <w:color w:val="auto"/>
          <w:sz w:val="32"/>
          <w:szCs w:val="32"/>
          <w:lang w:eastAsia="zh-CN"/>
        </w:rPr>
        <w:t>学</w:t>
      </w:r>
      <w:r>
        <w:rPr>
          <w:rFonts w:hint="default" w:ascii="Times New Roman" w:hAnsi="Times New Roman" w:eastAsia="方正仿宋简体" w:cs="Times New Roman"/>
          <w:strike w:val="0"/>
          <w:color w:val="auto"/>
          <w:sz w:val="32"/>
          <w:szCs w:val="32"/>
          <w:lang w:eastAsia="zh-CN"/>
        </w:rPr>
        <w:t>统</w:t>
      </w:r>
      <w:r>
        <w:rPr>
          <w:rFonts w:hint="default" w:ascii="Times New Roman" w:hAnsi="Times New Roman" w:eastAsia="方正仿宋简体" w:cs="Times New Roman"/>
          <w:color w:val="auto"/>
          <w:sz w:val="32"/>
          <w:szCs w:val="32"/>
          <w:lang w:eastAsia="zh-CN"/>
        </w:rPr>
        <w:t>筹疫情防控和经济社会发展，</w:t>
      </w:r>
      <w:r>
        <w:rPr>
          <w:rFonts w:hint="eastAsia" w:ascii="Times New Roman" w:hAnsi="Times New Roman" w:eastAsia="方正仿宋简体" w:cs="Times New Roman"/>
          <w:color w:val="auto"/>
          <w:sz w:val="32"/>
          <w:szCs w:val="32"/>
          <w:lang w:eastAsia="zh-CN"/>
        </w:rPr>
        <w:t>认真落实省委、省政府工作部署，</w:t>
      </w:r>
      <w:r>
        <w:rPr>
          <w:rFonts w:hint="default" w:ascii="Times New Roman" w:hAnsi="Times New Roman" w:eastAsia="方正仿宋简体" w:cs="Times New Roman"/>
          <w:color w:val="auto"/>
          <w:sz w:val="32"/>
          <w:szCs w:val="32"/>
          <w:lang w:eastAsia="zh-CN"/>
        </w:rPr>
        <w:t>沉着应对各种风险和挑战，</w:t>
      </w:r>
      <w:r>
        <w:rPr>
          <w:rFonts w:hint="default" w:ascii="Times New Roman" w:hAnsi="Times New Roman" w:eastAsia="方正仿宋简体" w:cs="Times New Roman"/>
          <w:color w:val="auto"/>
          <w:sz w:val="32"/>
          <w:szCs w:val="32"/>
          <w:lang w:val="en-US" w:eastAsia="zh-CN"/>
        </w:rPr>
        <w:t>奋力拼搏、顶压</w:t>
      </w:r>
      <w:r>
        <w:rPr>
          <w:rFonts w:hint="eastAsia" w:ascii="Times New Roman" w:hAnsi="Times New Roman" w:eastAsia="方正仿宋简体" w:cs="Times New Roman"/>
          <w:color w:val="auto"/>
          <w:sz w:val="32"/>
          <w:szCs w:val="32"/>
          <w:lang w:val="en-US" w:eastAsia="zh-CN"/>
        </w:rPr>
        <w:t>前</w:t>
      </w:r>
      <w:r>
        <w:rPr>
          <w:rFonts w:hint="default" w:ascii="Times New Roman" w:hAnsi="Times New Roman" w:eastAsia="方正仿宋简体" w:cs="Times New Roman"/>
          <w:color w:val="auto"/>
          <w:sz w:val="32"/>
          <w:szCs w:val="32"/>
          <w:lang w:val="en-US" w:eastAsia="zh-CN"/>
        </w:rPr>
        <w:t>进，“三个定位”建设取得新进展，“六稳”“六保”工作有力有效，</w:t>
      </w:r>
      <w:r>
        <w:rPr>
          <w:rFonts w:hint="default" w:ascii="Times New Roman" w:hAnsi="Times New Roman" w:eastAsia="方正仿宋简体" w:cs="Times New Roman"/>
          <w:color w:val="auto"/>
          <w:sz w:val="32"/>
          <w:szCs w:val="32"/>
          <w:lang w:eastAsia="zh-CN"/>
        </w:rPr>
        <w:t>经济发展延续稳中加固的态势，经济运行保持在合理区间，高质量跨越式发展步伐</w:t>
      </w:r>
      <w:r>
        <w:rPr>
          <w:rFonts w:hint="eastAsia" w:ascii="Times New Roman" w:hAnsi="Times New Roman" w:eastAsia="方正仿宋简体" w:cs="Times New Roman"/>
          <w:color w:val="auto"/>
          <w:sz w:val="32"/>
          <w:szCs w:val="32"/>
          <w:lang w:eastAsia="zh-CN"/>
        </w:rPr>
        <w:t>坚实坚定</w:t>
      </w:r>
      <w:r>
        <w:rPr>
          <w:rFonts w:hint="default" w:ascii="Times New Roman" w:hAnsi="Times New Roman" w:eastAsia="方正仿宋简体" w:cs="Times New Roman"/>
          <w:color w:val="auto"/>
          <w:sz w:val="32"/>
          <w:szCs w:val="32"/>
          <w:lang w:eastAsia="zh-CN"/>
        </w:rPr>
        <w:t>，实现了“十四五”良好开局。</w:t>
      </w:r>
    </w:p>
    <w:p>
      <w:pPr>
        <w:keepNext w:val="0"/>
        <w:keepLines w:val="0"/>
        <w:pageBreakBefore w:val="0"/>
        <w:numPr>
          <w:ilvl w:val="0"/>
          <w:numId w:val="1"/>
        </w:numPr>
        <w:kinsoku/>
        <w:wordWrap/>
        <w:overflowPunct w:val="0"/>
        <w:topLinePunct w:val="0"/>
        <w:autoSpaceDE/>
        <w:autoSpaceDN/>
        <w:bidi w:val="0"/>
        <w:adjustRightInd/>
        <w:spacing w:before="156" w:beforeLines="50" w:after="156" w:afterLines="50" w:line="56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eastAsia="zh-CN"/>
        </w:rPr>
        <w:t>综合</w:t>
      </w:r>
    </w:p>
    <w:p>
      <w:pPr>
        <w:keepNext w:val="0"/>
        <w:keepLines w:val="0"/>
        <w:pageBreakBefore w:val="0"/>
        <w:numPr>
          <w:ilvl w:val="0"/>
          <w:numId w:val="0"/>
        </w:numPr>
        <w:kinsoku/>
        <w:wordWrap/>
        <w:overflowPunct w:val="0"/>
        <w:topLinePunct w:val="0"/>
        <w:autoSpaceDE/>
        <w:autoSpaceDN/>
        <w:bidi w:val="0"/>
        <w:adjustRightInd/>
        <w:spacing w:before="156" w:beforeLines="50" w:after="156" w:afterLines="50"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经初步核算，全年实现地区生产总值</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GDP</w:t>
      </w:r>
      <w:r>
        <w:rPr>
          <w:rFonts w:hint="eastAsia" w:ascii="Times New Roman" w:hAnsi="Times New Roman" w:eastAsia="方正仿宋简体" w:cs="Times New Roman"/>
          <w:color w:val="000000"/>
          <w:sz w:val="32"/>
          <w:szCs w:val="32"/>
          <w:lang w:eastAsia="zh-CN"/>
        </w:rPr>
        <w:t>）</w:t>
      </w:r>
      <w:r>
        <w:rPr>
          <w:rStyle w:val="15"/>
          <w:rFonts w:hint="default" w:ascii="Times New Roman" w:hAnsi="Times New Roman" w:eastAsia="方正仿宋简体" w:cs="Times New Roman"/>
          <w:color w:val="000000"/>
          <w:sz w:val="32"/>
          <w:szCs w:val="32"/>
        </w:rPr>
        <w:t>[</w:t>
      </w:r>
      <w:r>
        <w:rPr>
          <w:rStyle w:val="15"/>
          <w:rFonts w:hint="default" w:ascii="Times New Roman" w:hAnsi="Times New Roman" w:eastAsia="方正仿宋简体" w:cs="Times New Roman"/>
          <w:color w:val="000000"/>
          <w:sz w:val="32"/>
          <w:szCs w:val="32"/>
        </w:rPr>
        <w:endnoteReference w:id="1"/>
      </w:r>
      <w:r>
        <w:rPr>
          <w:rStyle w:val="15"/>
          <w:rFonts w:hint="default" w:ascii="Times New Roman" w:hAnsi="Times New Roman" w:eastAsia="方正仿宋简体" w:cs="Times New Roman"/>
          <w:color w:val="000000"/>
          <w:sz w:val="32"/>
          <w:szCs w:val="32"/>
        </w:rPr>
        <w:t>]</w:t>
      </w:r>
      <w:r>
        <w:rPr>
          <w:rFonts w:hint="default" w:ascii="Times New Roman" w:hAnsi="Times New Roman" w:cs="Times New Roman"/>
        </w:rPr>
        <w:t xml:space="preserve"> </w:t>
      </w:r>
      <w:r>
        <w:rPr>
          <w:rFonts w:hint="default" w:ascii="Times New Roman" w:hAnsi="Times New Roman" w:eastAsia="方正仿宋简体" w:cs="Times New Roman"/>
          <w:color w:val="000000"/>
          <w:sz w:val="32"/>
          <w:szCs w:val="32"/>
        </w:rPr>
        <w:t>27146.76亿元，比上年增长7.3%，</w:t>
      </w:r>
      <w:r>
        <w:rPr>
          <w:rFonts w:hint="eastAsia" w:ascii="Times New Roman" w:hAnsi="Times New Roman" w:eastAsia="方正仿宋简体" w:cs="Times New Roman"/>
          <w:color w:val="000000"/>
          <w:sz w:val="32"/>
          <w:szCs w:val="32"/>
          <w:lang w:eastAsia="zh-CN"/>
        </w:rPr>
        <w:t>两年平均增长</w:t>
      </w:r>
      <w:r>
        <w:rPr>
          <w:rFonts w:hint="eastAsia" w:ascii="Times New Roman" w:hAnsi="Times New Roman" w:eastAsia="方正仿宋简体" w:cs="Times New Roman"/>
          <w:color w:val="000000"/>
          <w:sz w:val="32"/>
          <w:szCs w:val="32"/>
          <w:lang w:val="en-US" w:eastAsia="zh-CN"/>
        </w:rPr>
        <w:t>5.6%</w:t>
      </w:r>
      <w:r>
        <w:rPr>
          <w:rFonts w:hint="default" w:ascii="Times New Roman" w:hAnsi="Times New Roman" w:eastAsia="方正仿宋简体" w:cs="Times New Roman"/>
          <w:color w:val="000000"/>
          <w:sz w:val="32"/>
          <w:szCs w:val="32"/>
        </w:rPr>
        <w:t>。其中，第一产业增加值3870.17亿元，</w:t>
      </w:r>
      <w:r>
        <w:rPr>
          <w:rFonts w:hint="eastAsia" w:ascii="Times New Roman" w:hAnsi="Times New Roman" w:eastAsia="方正仿宋简体" w:cs="Times New Roman"/>
          <w:color w:val="000000"/>
          <w:sz w:val="32"/>
          <w:szCs w:val="32"/>
          <w:lang w:eastAsia="zh-CN"/>
        </w:rPr>
        <w:t>比上年</w:t>
      </w:r>
      <w:r>
        <w:rPr>
          <w:rFonts w:hint="default" w:ascii="Times New Roman" w:hAnsi="Times New Roman" w:eastAsia="方正仿宋简体" w:cs="Times New Roman"/>
          <w:color w:val="000000"/>
          <w:sz w:val="32"/>
          <w:szCs w:val="32"/>
        </w:rPr>
        <w:t>增长8.4%；第二产业增加值9589.37亿元，增长6.1%</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第三产业增加值13687.22亿元，增长7.7</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。三次产业结构为14.3∶35.3∶50.4。全省人均地区生产总值5768</w:t>
      </w:r>
      <w:r>
        <w:rPr>
          <w:rFonts w:hint="default" w:ascii="Times New Roman" w:hAnsi="Times New Roman" w:eastAsia="方正仿宋简体" w:cs="Times New Roman"/>
          <w:color w:val="000000"/>
          <w:sz w:val="32"/>
          <w:szCs w:val="32"/>
          <w:lang w:val="en-US" w:eastAsia="zh-CN"/>
        </w:rPr>
        <w:t>6</w:t>
      </w:r>
      <w:r>
        <w:rPr>
          <w:rFonts w:hint="default" w:ascii="Times New Roman" w:hAnsi="Times New Roman" w:eastAsia="方正仿宋简体" w:cs="Times New Roman"/>
          <w:color w:val="000000"/>
          <w:sz w:val="32"/>
          <w:szCs w:val="32"/>
        </w:rPr>
        <w:t>元，比上年增长7.5%。非公经济增加值12759.39亿元，</w:t>
      </w:r>
      <w:r>
        <w:rPr>
          <w:rFonts w:hint="default" w:ascii="Times New Roman" w:hAnsi="Times New Roman" w:eastAsia="仿宋_GB2312" w:cs="Times New Roman"/>
          <w:color w:val="000000"/>
          <w:sz w:val="32"/>
          <w:szCs w:val="32"/>
        </w:rPr>
        <w:t>增长7.8%，</w:t>
      </w:r>
      <w:r>
        <w:rPr>
          <w:rFonts w:hint="default" w:ascii="Times New Roman" w:hAnsi="Times New Roman" w:eastAsia="方正仿宋简体" w:cs="Times New Roman"/>
          <w:color w:val="000000"/>
          <w:sz w:val="32"/>
          <w:szCs w:val="32"/>
        </w:rPr>
        <w:t>占全省</w:t>
      </w:r>
      <w:r>
        <w:rPr>
          <w:rFonts w:hint="eastAsia" w:ascii="Times New Roman" w:hAnsi="Times New Roman" w:eastAsia="方正仿宋简体" w:cs="Times New Roman"/>
          <w:color w:val="000000"/>
          <w:sz w:val="32"/>
          <w:szCs w:val="32"/>
          <w:lang w:eastAsia="zh-CN"/>
        </w:rPr>
        <w:t>地区</w:t>
      </w:r>
      <w:r>
        <w:rPr>
          <w:rFonts w:hint="default" w:ascii="Times New Roman" w:hAnsi="Times New Roman" w:eastAsia="方正仿宋简体" w:cs="Times New Roman"/>
          <w:color w:val="000000"/>
          <w:sz w:val="32"/>
          <w:szCs w:val="32"/>
        </w:rPr>
        <w:t>生产总值</w:t>
      </w:r>
      <w:r>
        <w:rPr>
          <w:rFonts w:hint="eastAsia" w:ascii="Times New Roman" w:hAnsi="Times New Roman" w:eastAsia="方正仿宋简体" w:cs="Times New Roman"/>
          <w:color w:val="000000"/>
          <w:sz w:val="32"/>
          <w:szCs w:val="32"/>
          <w:lang w:eastAsia="zh-CN"/>
        </w:rPr>
        <w:t>比重为</w:t>
      </w:r>
      <w:r>
        <w:rPr>
          <w:rFonts w:hint="default" w:ascii="Times New Roman" w:hAnsi="Times New Roman" w:eastAsia="方正仿宋简体" w:cs="Times New Roman"/>
          <w:color w:val="000000"/>
          <w:sz w:val="32"/>
          <w:szCs w:val="32"/>
        </w:rPr>
        <w:t>47.0%，比上年提高0.4个百分点。</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sz w:val="32"/>
          <w:szCs w:val="32"/>
        </w:rPr>
      </w:pPr>
      <w:r>
        <w:drawing>
          <wp:inline distT="0" distB="0" distL="114300" distR="114300">
            <wp:extent cx="5581650" cy="32480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581650" cy="3248025"/>
                    </a:xfrm>
                    <a:prstGeom prst="rect">
                      <a:avLst/>
                    </a:prstGeom>
                    <a:noFill/>
                    <a:ln>
                      <a:noFill/>
                    </a:ln>
                  </pic:spPr>
                </pic:pic>
              </a:graphicData>
            </a:graphic>
          </wp:inline>
        </w:drawing>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年全省财政总收入4247.45亿元，比上年增长6.3%。全省地方一般公共预算收入完成2278.24亿元，比上年增长7.6%。其中增值税563.83亿元，增长0.1%；企业所得税229.30亿元，增长5.4%。全省地方一般公共预算支出完成6634.40亿元，比上年下降4.9%，剔除不可比因素，同口径增长3.1%。其中，一般公共服务支出563.93亿元，下降6.7%；社会保障和就业支出997.40亿元，增长1.9%；交通运输支出601.40亿元，下降4.3%；农林水支出919.82亿元，下降16.4%。</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sz w:val="32"/>
          <w:szCs w:val="32"/>
        </w:rPr>
      </w:pPr>
      <w:r>
        <w:drawing>
          <wp:inline distT="0" distB="0" distL="114300" distR="114300">
            <wp:extent cx="5267325" cy="271399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67325" cy="2713990"/>
                    </a:xfrm>
                    <a:prstGeom prst="rect">
                      <a:avLst/>
                    </a:prstGeom>
                    <a:noFill/>
                    <a:ln>
                      <a:noFill/>
                    </a:ln>
                  </pic:spPr>
                </pic:pic>
              </a:graphicData>
            </a:graphic>
          </wp:inline>
        </w:drawing>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left"/>
        <w:textAlignment w:val="auto"/>
        <w:rPr>
          <w:rFonts w:hint="default" w:ascii="Times New Roman" w:hAnsi="Times New Roman" w:cs="Times New Roman"/>
        </w:rPr>
      </w:pPr>
      <w:r>
        <w:rPr>
          <w:rFonts w:hint="default" w:ascii="Times New Roman" w:hAnsi="Times New Roman" w:eastAsia="方正仿宋简体" w:cs="Times New Roman"/>
          <w:sz w:val="32"/>
          <w:szCs w:val="32"/>
        </w:rPr>
        <w:t>全年全省居民消费价格比上年上涨</w:t>
      </w:r>
      <w:r>
        <w:rPr>
          <w:rFonts w:hint="default" w:ascii="Times New Roman" w:hAnsi="Times New Roman" w:eastAsia="方正仿宋简体" w:cs="Times New Roman"/>
          <w:sz w:val="32"/>
          <w:szCs w:val="32"/>
          <w:lang w:val="en-US" w:eastAsia="zh-CN"/>
        </w:rPr>
        <w:t>0.2</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其中</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食品价格</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3.6</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工业生产者出厂价格</w:t>
      </w:r>
      <w:r>
        <w:rPr>
          <w:rFonts w:hint="default" w:ascii="Times New Roman" w:hAnsi="Times New Roman" w:eastAsia="方正仿宋简体" w:cs="Times New Roman"/>
          <w:sz w:val="32"/>
          <w:szCs w:val="32"/>
          <w:lang w:eastAsia="zh-CN"/>
        </w:rPr>
        <w:t>上涨</w:t>
      </w:r>
      <w:r>
        <w:rPr>
          <w:rFonts w:hint="default" w:ascii="Times New Roman" w:hAnsi="Times New Roman" w:eastAsia="方正仿宋简体" w:cs="Times New Roman"/>
          <w:sz w:val="32"/>
          <w:szCs w:val="32"/>
          <w:lang w:val="en-US" w:eastAsia="zh-CN"/>
        </w:rPr>
        <w:t>10.0%</w:t>
      </w:r>
      <w:r>
        <w:rPr>
          <w:rFonts w:hint="default" w:ascii="Times New Roman" w:hAnsi="Times New Roman" w:eastAsia="方正仿宋简体" w:cs="Times New Roman"/>
          <w:sz w:val="32"/>
          <w:szCs w:val="32"/>
        </w:rPr>
        <w:t>，工业生产者购进价格</w:t>
      </w:r>
      <w:r>
        <w:rPr>
          <w:rFonts w:hint="default" w:ascii="Times New Roman" w:hAnsi="Times New Roman" w:eastAsia="方正仿宋简体" w:cs="Times New Roman"/>
          <w:sz w:val="32"/>
          <w:szCs w:val="32"/>
          <w:lang w:eastAsia="zh-CN"/>
        </w:rPr>
        <w:t>上涨</w:t>
      </w:r>
      <w:r>
        <w:rPr>
          <w:rFonts w:hint="default" w:ascii="Times New Roman" w:hAnsi="Times New Roman" w:eastAsia="方正仿宋简体" w:cs="Times New Roman"/>
          <w:sz w:val="32"/>
          <w:szCs w:val="32"/>
          <w:lang w:val="en-US" w:eastAsia="zh-CN"/>
        </w:rPr>
        <w:t>8.9</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农产品生产者价格</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3.2</w:t>
      </w:r>
      <w:r>
        <w:rPr>
          <w:rFonts w:hint="default" w:ascii="Times New Roman" w:hAnsi="Times New Roman" w:eastAsia="方正仿宋简体" w:cs="Times New Roman"/>
          <w:sz w:val="32"/>
          <w:szCs w:val="32"/>
        </w:rPr>
        <w:t>%。</w:t>
      </w:r>
    </w:p>
    <w:p>
      <w:pPr>
        <w:keepNext w:val="0"/>
        <w:keepLines w:val="0"/>
        <w:pageBreakBefore w:val="0"/>
        <w:kinsoku/>
        <w:wordWrap/>
        <w:overflowPunct w:val="0"/>
        <w:topLinePunct w:val="0"/>
        <w:autoSpaceDE/>
        <w:autoSpaceDN/>
        <w:bidi w:val="0"/>
        <w:adjustRightInd/>
        <w:spacing w:line="560" w:lineRule="exact"/>
        <w:jc w:val="center"/>
        <w:rPr>
          <w:rFonts w:hint="default" w:ascii="Times New Roman" w:hAnsi="Times New Roman" w:eastAsia="方正黑体简体" w:cs="Times New Roman"/>
          <w:sz w:val="28"/>
          <w:szCs w:val="28"/>
        </w:rPr>
      </w:pPr>
      <w:r>
        <w:rPr>
          <w:rFonts w:hint="default" w:ascii="Times New Roman" w:hAnsi="Times New Roman" w:eastAsia="方正黑体简体" w:cs="Times New Roman"/>
          <w:sz w:val="28"/>
          <w:szCs w:val="28"/>
        </w:rPr>
        <w:t>表1  2021年云南居民消费价格比上年涨跌幅度</w:t>
      </w:r>
      <w:r>
        <w:rPr>
          <w:rStyle w:val="15"/>
          <w:rFonts w:hint="default" w:ascii="Times New Roman" w:hAnsi="Times New Roman" w:eastAsia="方正黑体简体" w:cs="Times New Roman"/>
          <w:sz w:val="28"/>
          <w:szCs w:val="28"/>
        </w:rPr>
        <w:t>[</w:t>
      </w:r>
      <w:r>
        <w:rPr>
          <w:rStyle w:val="15"/>
          <w:rFonts w:hint="default" w:ascii="Times New Roman" w:hAnsi="Times New Roman" w:eastAsia="方正黑体简体" w:cs="Times New Roman"/>
          <w:sz w:val="28"/>
          <w:szCs w:val="28"/>
        </w:rPr>
        <w:endnoteReference w:id="2"/>
      </w:r>
      <w:r>
        <w:rPr>
          <w:rStyle w:val="15"/>
          <w:rFonts w:hint="default" w:ascii="Times New Roman" w:hAnsi="Times New Roman" w:eastAsia="方正黑体简体" w:cs="Times New Roman"/>
          <w:sz w:val="28"/>
          <w:szCs w:val="28"/>
        </w:rPr>
        <w:t>]</w:t>
      </w:r>
    </w:p>
    <w:p>
      <w:pPr>
        <w:keepNext w:val="0"/>
        <w:keepLines w:val="0"/>
        <w:pageBreakBefore w:val="0"/>
        <w:kinsoku/>
        <w:wordWrap/>
        <w:overflowPunct w:val="0"/>
        <w:topLinePunct w:val="0"/>
        <w:autoSpaceDE/>
        <w:autoSpaceDN/>
        <w:bidi w:val="0"/>
        <w:adjustRightInd/>
        <w:spacing w:line="560" w:lineRule="exact"/>
        <w:ind w:firstLine="627" w:firstLineChars="196"/>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32"/>
          <w:szCs w:val="32"/>
        </w:rPr>
        <w:t xml:space="preserve">                                 </w:t>
      </w:r>
      <w:r>
        <w:rPr>
          <w:rFonts w:hint="default" w:ascii="Times New Roman" w:hAnsi="Times New Roman" w:cs="Times New Roman"/>
          <w:color w:val="000000"/>
          <w:kern w:val="0"/>
          <w:sz w:val="24"/>
          <w:szCs w:val="24"/>
        </w:rPr>
        <w:t>单位：%</w:t>
      </w:r>
    </w:p>
    <w:tbl>
      <w:tblPr>
        <w:tblStyle w:val="13"/>
        <w:tblW w:w="0" w:type="auto"/>
        <w:jc w:val="center"/>
        <w:tblLayout w:type="fixed"/>
        <w:tblCellMar>
          <w:top w:w="0" w:type="dxa"/>
          <w:left w:w="108" w:type="dxa"/>
          <w:bottom w:w="0" w:type="dxa"/>
          <w:right w:w="108" w:type="dxa"/>
        </w:tblCellMar>
      </w:tblPr>
      <w:tblGrid>
        <w:gridCol w:w="2516"/>
        <w:gridCol w:w="1738"/>
        <w:gridCol w:w="1551"/>
        <w:gridCol w:w="1691"/>
      </w:tblGrid>
      <w:tr>
        <w:tblPrEx>
          <w:tblCellMar>
            <w:top w:w="0" w:type="dxa"/>
            <w:left w:w="108" w:type="dxa"/>
            <w:bottom w:w="0" w:type="dxa"/>
            <w:right w:w="108" w:type="dxa"/>
          </w:tblCellMar>
        </w:tblPrEx>
        <w:trPr>
          <w:trHeight w:val="285" w:hRule="atLeast"/>
          <w:jc w:val="center"/>
        </w:trPr>
        <w:tc>
          <w:tcPr>
            <w:tcW w:w="2516" w:type="dxa"/>
            <w:vMerge w:val="restart"/>
            <w:tcBorders>
              <w:top w:val="single" w:color="auto" w:sz="8"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val="0"/>
              <w:topLinePunct w:val="0"/>
              <w:autoSpaceDE/>
              <w:autoSpaceDN/>
              <w:bidi w:val="0"/>
              <w:adjustRightInd/>
              <w:snapToGrid/>
              <w:spacing w:line="320" w:lineRule="exact"/>
              <w:jc w:val="center"/>
              <w:textAlignment w:val="auto"/>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指  标</w:t>
            </w:r>
          </w:p>
        </w:tc>
        <w:tc>
          <w:tcPr>
            <w:tcW w:w="1738" w:type="dxa"/>
            <w:vMerge w:val="restart"/>
            <w:tcBorders>
              <w:top w:val="single" w:color="auto" w:sz="8" w:space="0"/>
              <w:left w:val="single" w:color="auto" w:sz="4" w:space="0"/>
              <w:bottom w:val="single" w:color="auto" w:sz="4" w:space="0"/>
              <w:right w:val="nil"/>
            </w:tcBorders>
            <w:shd w:val="clear" w:color="000000" w:fill="FFFFFF"/>
            <w:noWrap w:val="0"/>
            <w:vAlign w:val="center"/>
          </w:tcPr>
          <w:p>
            <w:pPr>
              <w:keepNext w:val="0"/>
              <w:keepLines w:val="0"/>
              <w:pageBreakBefore w:val="0"/>
              <w:kinsoku/>
              <w:wordWrap/>
              <w:overflowPunct w:val="0"/>
              <w:topLinePunct w:val="0"/>
              <w:autoSpaceDE/>
              <w:autoSpaceDN/>
              <w:bidi w:val="0"/>
              <w:adjustRightInd/>
              <w:snapToGrid/>
              <w:spacing w:line="320" w:lineRule="exact"/>
              <w:jc w:val="center"/>
              <w:textAlignment w:val="auto"/>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全  省</w:t>
            </w:r>
          </w:p>
        </w:tc>
        <w:tc>
          <w:tcPr>
            <w:tcW w:w="3242" w:type="dxa"/>
            <w:gridSpan w:val="2"/>
            <w:tcBorders>
              <w:top w:val="single" w:color="auto" w:sz="8" w:space="0"/>
              <w:left w:val="nil"/>
              <w:bottom w:val="single" w:color="auto" w:sz="4" w:space="0"/>
              <w:right w:val="nil"/>
            </w:tcBorders>
            <w:shd w:val="clear" w:color="000000" w:fill="FFFFFF"/>
            <w:noWrap w:val="0"/>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　</w:t>
            </w:r>
          </w:p>
        </w:tc>
      </w:tr>
      <w:tr>
        <w:tblPrEx>
          <w:tblCellMar>
            <w:top w:w="0" w:type="dxa"/>
            <w:left w:w="108" w:type="dxa"/>
            <w:bottom w:w="0" w:type="dxa"/>
            <w:right w:w="108" w:type="dxa"/>
          </w:tblCellMar>
        </w:tblPrEx>
        <w:trPr>
          <w:trHeight w:val="285" w:hRule="atLeast"/>
          <w:jc w:val="center"/>
        </w:trPr>
        <w:tc>
          <w:tcPr>
            <w:tcW w:w="2516" w:type="dxa"/>
            <w:vMerge w:val="continue"/>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auto"/>
              <w:rPr>
                <w:rFonts w:hint="default" w:ascii="Times New Roman" w:hAnsi="Times New Roman" w:cs="Times New Roman"/>
                <w:b/>
                <w:bCs/>
                <w:color w:val="000000"/>
                <w:kern w:val="0"/>
                <w:sz w:val="22"/>
              </w:rPr>
            </w:pPr>
          </w:p>
        </w:tc>
        <w:tc>
          <w:tcPr>
            <w:tcW w:w="173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auto"/>
              <w:rPr>
                <w:rFonts w:hint="default" w:ascii="Times New Roman" w:hAnsi="Times New Roman" w:cs="Times New Roman"/>
                <w:b/>
                <w:bCs/>
                <w:color w:val="000000"/>
                <w:kern w:val="0"/>
                <w:sz w:val="22"/>
              </w:rPr>
            </w:pPr>
          </w:p>
        </w:tc>
        <w:tc>
          <w:tcPr>
            <w:tcW w:w="1551"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keepNext w:val="0"/>
              <w:keepLines w:val="0"/>
              <w:pageBreakBefore w:val="0"/>
              <w:kinsoku/>
              <w:wordWrap/>
              <w:overflowPunct w:val="0"/>
              <w:topLinePunct w:val="0"/>
              <w:autoSpaceDE/>
              <w:autoSpaceDN/>
              <w:bidi w:val="0"/>
              <w:adjustRightInd/>
              <w:snapToGrid/>
              <w:spacing w:line="320" w:lineRule="exact"/>
              <w:jc w:val="center"/>
              <w:textAlignment w:val="auto"/>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城  市</w:t>
            </w:r>
          </w:p>
        </w:tc>
        <w:tc>
          <w:tcPr>
            <w:tcW w:w="1691" w:type="dxa"/>
            <w:tcBorders>
              <w:top w:val="single" w:color="auto" w:sz="4" w:space="0"/>
              <w:left w:val="single" w:color="auto" w:sz="4" w:space="0"/>
              <w:bottom w:val="single" w:color="auto" w:sz="4" w:space="0"/>
              <w:right w:val="nil"/>
            </w:tcBorders>
            <w:shd w:val="clear" w:color="000000" w:fill="FFFFFF"/>
            <w:noWrap w:val="0"/>
            <w:vAlign w:val="top"/>
          </w:tcPr>
          <w:p>
            <w:pPr>
              <w:keepNext w:val="0"/>
              <w:keepLines w:val="0"/>
              <w:pageBreakBefore w:val="0"/>
              <w:kinsoku/>
              <w:wordWrap/>
              <w:overflowPunct w:val="0"/>
              <w:topLinePunct w:val="0"/>
              <w:autoSpaceDE/>
              <w:autoSpaceDN/>
              <w:bidi w:val="0"/>
              <w:adjustRightInd/>
              <w:snapToGrid/>
              <w:spacing w:line="320" w:lineRule="exact"/>
              <w:jc w:val="center"/>
              <w:textAlignment w:val="auto"/>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农  村</w:t>
            </w:r>
          </w:p>
        </w:tc>
      </w:tr>
      <w:tr>
        <w:tblPrEx>
          <w:tblCellMar>
            <w:top w:w="0" w:type="dxa"/>
            <w:left w:w="108" w:type="dxa"/>
            <w:bottom w:w="0" w:type="dxa"/>
            <w:right w:w="108" w:type="dxa"/>
          </w:tblCellMar>
        </w:tblPrEx>
        <w:trPr>
          <w:trHeight w:val="285" w:hRule="atLeast"/>
          <w:jc w:val="center"/>
        </w:trPr>
        <w:tc>
          <w:tcPr>
            <w:tcW w:w="25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auto"/>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居民消费价格指数</w:t>
            </w:r>
          </w:p>
        </w:tc>
        <w:tc>
          <w:tcPr>
            <w:tcW w:w="17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kern w:val="0"/>
                <w:sz w:val="22"/>
                <w:lang w:val="en-US" w:eastAsia="zh-CN"/>
              </w:rPr>
            </w:pPr>
            <w:r>
              <w:rPr>
                <w:rFonts w:hint="default" w:ascii="Times New Roman" w:hAnsi="Times New Roman" w:cs="Times New Roman"/>
                <w:kern w:val="0"/>
                <w:sz w:val="22"/>
                <w:lang w:val="en-US" w:eastAsia="zh-CN"/>
              </w:rPr>
              <w:t>0.2</w:t>
            </w:r>
          </w:p>
        </w:tc>
        <w:tc>
          <w:tcPr>
            <w:tcW w:w="15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0.2</w:t>
            </w:r>
          </w:p>
        </w:tc>
        <w:tc>
          <w:tcPr>
            <w:tcW w:w="1691" w:type="dxa"/>
            <w:tcBorders>
              <w:top w:val="single" w:color="auto" w:sz="4" w:space="0"/>
              <w:left w:val="single" w:color="auto" w:sz="4" w:space="0"/>
              <w:bottom w:val="single" w:color="auto" w:sz="4" w:space="0"/>
              <w:right w:val="nil"/>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0.2</w:t>
            </w:r>
          </w:p>
        </w:tc>
      </w:tr>
      <w:tr>
        <w:tblPrEx>
          <w:tblCellMar>
            <w:top w:w="0" w:type="dxa"/>
            <w:left w:w="108" w:type="dxa"/>
            <w:bottom w:w="0" w:type="dxa"/>
            <w:right w:w="108" w:type="dxa"/>
          </w:tblCellMar>
        </w:tblPrEx>
        <w:trPr>
          <w:trHeight w:val="300" w:hRule="atLeast"/>
          <w:jc w:val="center"/>
        </w:trPr>
        <w:tc>
          <w:tcPr>
            <w:tcW w:w="25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val="0"/>
              <w:topLinePunct w:val="0"/>
              <w:autoSpaceDE/>
              <w:autoSpaceDN/>
              <w:bidi w:val="0"/>
              <w:adjustRightInd/>
              <w:snapToGrid/>
              <w:spacing w:line="320" w:lineRule="exact"/>
              <w:textAlignment w:val="auto"/>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xml:space="preserve"> 食品烟酒</w:t>
            </w:r>
          </w:p>
        </w:tc>
        <w:tc>
          <w:tcPr>
            <w:tcW w:w="17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-1.6</w:t>
            </w:r>
          </w:p>
        </w:tc>
        <w:tc>
          <w:tcPr>
            <w:tcW w:w="15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-1.7</w:t>
            </w:r>
          </w:p>
        </w:tc>
        <w:tc>
          <w:tcPr>
            <w:tcW w:w="1691" w:type="dxa"/>
            <w:tcBorders>
              <w:top w:val="single" w:color="auto" w:sz="4" w:space="0"/>
              <w:left w:val="single" w:color="auto" w:sz="4" w:space="0"/>
              <w:bottom w:val="single" w:color="auto" w:sz="4" w:space="0"/>
              <w:right w:val="nil"/>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-1.4</w:t>
            </w:r>
          </w:p>
        </w:tc>
      </w:tr>
      <w:tr>
        <w:tblPrEx>
          <w:tblCellMar>
            <w:top w:w="0" w:type="dxa"/>
            <w:left w:w="108" w:type="dxa"/>
            <w:bottom w:w="0" w:type="dxa"/>
            <w:right w:w="108" w:type="dxa"/>
          </w:tblCellMar>
        </w:tblPrEx>
        <w:trPr>
          <w:trHeight w:val="300" w:hRule="atLeast"/>
          <w:jc w:val="center"/>
        </w:trPr>
        <w:tc>
          <w:tcPr>
            <w:tcW w:w="25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val="0"/>
              <w:topLinePunct w:val="0"/>
              <w:autoSpaceDE/>
              <w:autoSpaceDN/>
              <w:bidi w:val="0"/>
              <w:adjustRightInd/>
              <w:snapToGrid/>
              <w:spacing w:line="320" w:lineRule="exact"/>
              <w:textAlignment w:val="auto"/>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xml:space="preserve">  粮食</w:t>
            </w:r>
          </w:p>
        </w:tc>
        <w:tc>
          <w:tcPr>
            <w:tcW w:w="17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1.2</w:t>
            </w:r>
          </w:p>
        </w:tc>
        <w:tc>
          <w:tcPr>
            <w:tcW w:w="15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0.8</w:t>
            </w:r>
          </w:p>
        </w:tc>
        <w:tc>
          <w:tcPr>
            <w:tcW w:w="1691" w:type="dxa"/>
            <w:tcBorders>
              <w:top w:val="single" w:color="auto" w:sz="4" w:space="0"/>
              <w:left w:val="single" w:color="auto" w:sz="4" w:space="0"/>
              <w:bottom w:val="single" w:color="auto" w:sz="4" w:space="0"/>
              <w:right w:val="nil"/>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1.7</w:t>
            </w:r>
          </w:p>
        </w:tc>
      </w:tr>
      <w:tr>
        <w:tblPrEx>
          <w:tblCellMar>
            <w:top w:w="0" w:type="dxa"/>
            <w:left w:w="108" w:type="dxa"/>
            <w:bottom w:w="0" w:type="dxa"/>
            <w:right w:w="108" w:type="dxa"/>
          </w:tblCellMar>
        </w:tblPrEx>
        <w:trPr>
          <w:trHeight w:val="300" w:hRule="atLeast"/>
          <w:jc w:val="center"/>
        </w:trPr>
        <w:tc>
          <w:tcPr>
            <w:tcW w:w="25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val="0"/>
              <w:topLinePunct w:val="0"/>
              <w:autoSpaceDE/>
              <w:autoSpaceDN/>
              <w:bidi w:val="0"/>
              <w:adjustRightInd/>
              <w:snapToGrid/>
              <w:spacing w:line="320" w:lineRule="exact"/>
              <w:textAlignment w:val="auto"/>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xml:space="preserve">  食用油  </w:t>
            </w:r>
          </w:p>
        </w:tc>
        <w:tc>
          <w:tcPr>
            <w:tcW w:w="17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0.4</w:t>
            </w:r>
          </w:p>
        </w:tc>
        <w:tc>
          <w:tcPr>
            <w:tcW w:w="15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3.0</w:t>
            </w:r>
          </w:p>
        </w:tc>
        <w:tc>
          <w:tcPr>
            <w:tcW w:w="1691" w:type="dxa"/>
            <w:tcBorders>
              <w:top w:val="single" w:color="auto" w:sz="4" w:space="0"/>
              <w:left w:val="single" w:color="auto" w:sz="4" w:space="0"/>
              <w:bottom w:val="single" w:color="auto" w:sz="4" w:space="0"/>
              <w:right w:val="nil"/>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-3.1</w:t>
            </w:r>
          </w:p>
        </w:tc>
      </w:tr>
      <w:tr>
        <w:tblPrEx>
          <w:tblCellMar>
            <w:top w:w="0" w:type="dxa"/>
            <w:left w:w="108" w:type="dxa"/>
            <w:bottom w:w="0" w:type="dxa"/>
            <w:right w:w="108" w:type="dxa"/>
          </w:tblCellMar>
        </w:tblPrEx>
        <w:trPr>
          <w:trHeight w:val="300" w:hRule="atLeast"/>
          <w:jc w:val="center"/>
        </w:trPr>
        <w:tc>
          <w:tcPr>
            <w:tcW w:w="25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val="0"/>
              <w:topLinePunct w:val="0"/>
              <w:autoSpaceDE/>
              <w:autoSpaceDN/>
              <w:bidi w:val="0"/>
              <w:adjustRightInd/>
              <w:snapToGrid/>
              <w:spacing w:line="320" w:lineRule="exact"/>
              <w:textAlignment w:val="auto"/>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xml:space="preserve">  畜肉类</w:t>
            </w:r>
          </w:p>
        </w:tc>
        <w:tc>
          <w:tcPr>
            <w:tcW w:w="17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-18.6</w:t>
            </w:r>
          </w:p>
        </w:tc>
        <w:tc>
          <w:tcPr>
            <w:tcW w:w="15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-18.6</w:t>
            </w:r>
          </w:p>
        </w:tc>
        <w:tc>
          <w:tcPr>
            <w:tcW w:w="1691" w:type="dxa"/>
            <w:tcBorders>
              <w:top w:val="single" w:color="auto" w:sz="4" w:space="0"/>
              <w:left w:val="single" w:color="auto" w:sz="4" w:space="0"/>
              <w:bottom w:val="single" w:color="auto" w:sz="4" w:space="0"/>
              <w:right w:val="nil"/>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-18.4</w:t>
            </w:r>
          </w:p>
        </w:tc>
      </w:tr>
      <w:tr>
        <w:tblPrEx>
          <w:tblCellMar>
            <w:top w:w="0" w:type="dxa"/>
            <w:left w:w="108" w:type="dxa"/>
            <w:bottom w:w="0" w:type="dxa"/>
            <w:right w:w="108" w:type="dxa"/>
          </w:tblCellMar>
        </w:tblPrEx>
        <w:trPr>
          <w:trHeight w:val="300" w:hRule="atLeast"/>
          <w:jc w:val="center"/>
        </w:trPr>
        <w:tc>
          <w:tcPr>
            <w:tcW w:w="25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val="0"/>
              <w:topLinePunct w:val="0"/>
              <w:autoSpaceDE/>
              <w:autoSpaceDN/>
              <w:bidi w:val="0"/>
              <w:adjustRightInd/>
              <w:snapToGrid/>
              <w:spacing w:line="320" w:lineRule="exact"/>
              <w:textAlignment w:val="auto"/>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xml:space="preserve"> 衣着</w:t>
            </w:r>
          </w:p>
        </w:tc>
        <w:tc>
          <w:tcPr>
            <w:tcW w:w="17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-0.3</w:t>
            </w:r>
          </w:p>
        </w:tc>
        <w:tc>
          <w:tcPr>
            <w:tcW w:w="15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-0.5</w:t>
            </w:r>
          </w:p>
        </w:tc>
        <w:tc>
          <w:tcPr>
            <w:tcW w:w="1691" w:type="dxa"/>
            <w:tcBorders>
              <w:top w:val="single" w:color="auto" w:sz="4" w:space="0"/>
              <w:left w:val="single" w:color="auto" w:sz="4" w:space="0"/>
              <w:bottom w:val="single" w:color="auto" w:sz="4" w:space="0"/>
              <w:right w:val="nil"/>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0.0</w:t>
            </w:r>
          </w:p>
        </w:tc>
      </w:tr>
      <w:tr>
        <w:tblPrEx>
          <w:tblCellMar>
            <w:top w:w="0" w:type="dxa"/>
            <w:left w:w="108" w:type="dxa"/>
            <w:bottom w:w="0" w:type="dxa"/>
            <w:right w:w="108" w:type="dxa"/>
          </w:tblCellMar>
        </w:tblPrEx>
        <w:trPr>
          <w:trHeight w:val="300" w:hRule="atLeast"/>
          <w:jc w:val="center"/>
        </w:trPr>
        <w:tc>
          <w:tcPr>
            <w:tcW w:w="25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val="0"/>
              <w:topLinePunct w:val="0"/>
              <w:autoSpaceDE/>
              <w:autoSpaceDN/>
              <w:bidi w:val="0"/>
              <w:adjustRightInd/>
              <w:snapToGrid/>
              <w:spacing w:line="320" w:lineRule="exact"/>
              <w:textAlignment w:val="auto"/>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xml:space="preserve"> 居住</w:t>
            </w:r>
          </w:p>
        </w:tc>
        <w:tc>
          <w:tcPr>
            <w:tcW w:w="17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0.2</w:t>
            </w:r>
          </w:p>
        </w:tc>
        <w:tc>
          <w:tcPr>
            <w:tcW w:w="15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0.6</w:t>
            </w:r>
          </w:p>
        </w:tc>
        <w:tc>
          <w:tcPr>
            <w:tcW w:w="1691" w:type="dxa"/>
            <w:tcBorders>
              <w:top w:val="single" w:color="auto" w:sz="4" w:space="0"/>
              <w:left w:val="single" w:color="auto" w:sz="4" w:space="0"/>
              <w:bottom w:val="single" w:color="auto" w:sz="4" w:space="0"/>
              <w:right w:val="nil"/>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-0.5</w:t>
            </w:r>
          </w:p>
        </w:tc>
      </w:tr>
      <w:tr>
        <w:tblPrEx>
          <w:tblCellMar>
            <w:top w:w="0" w:type="dxa"/>
            <w:left w:w="108" w:type="dxa"/>
            <w:bottom w:w="0" w:type="dxa"/>
            <w:right w:w="108" w:type="dxa"/>
          </w:tblCellMar>
        </w:tblPrEx>
        <w:trPr>
          <w:trHeight w:val="300" w:hRule="atLeast"/>
          <w:jc w:val="center"/>
        </w:trPr>
        <w:tc>
          <w:tcPr>
            <w:tcW w:w="25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val="0"/>
              <w:topLinePunct w:val="0"/>
              <w:autoSpaceDE/>
              <w:autoSpaceDN/>
              <w:bidi w:val="0"/>
              <w:adjustRightInd/>
              <w:snapToGrid/>
              <w:spacing w:line="320" w:lineRule="exact"/>
              <w:textAlignment w:val="auto"/>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xml:space="preserve"> 生活用品及服务</w:t>
            </w:r>
          </w:p>
        </w:tc>
        <w:tc>
          <w:tcPr>
            <w:tcW w:w="17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-0.4</w:t>
            </w:r>
          </w:p>
        </w:tc>
        <w:tc>
          <w:tcPr>
            <w:tcW w:w="15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-0.4</w:t>
            </w:r>
          </w:p>
        </w:tc>
        <w:tc>
          <w:tcPr>
            <w:tcW w:w="1691" w:type="dxa"/>
            <w:tcBorders>
              <w:top w:val="single" w:color="auto" w:sz="4" w:space="0"/>
              <w:left w:val="single" w:color="auto" w:sz="4" w:space="0"/>
              <w:bottom w:val="single" w:color="auto" w:sz="4" w:space="0"/>
              <w:right w:val="nil"/>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-0.4</w:t>
            </w:r>
          </w:p>
        </w:tc>
      </w:tr>
      <w:tr>
        <w:tblPrEx>
          <w:tblCellMar>
            <w:top w:w="0" w:type="dxa"/>
            <w:left w:w="108" w:type="dxa"/>
            <w:bottom w:w="0" w:type="dxa"/>
            <w:right w:w="108" w:type="dxa"/>
          </w:tblCellMar>
        </w:tblPrEx>
        <w:trPr>
          <w:trHeight w:val="300" w:hRule="atLeast"/>
          <w:jc w:val="center"/>
        </w:trPr>
        <w:tc>
          <w:tcPr>
            <w:tcW w:w="25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val="0"/>
              <w:topLinePunct w:val="0"/>
              <w:autoSpaceDE/>
              <w:autoSpaceDN/>
              <w:bidi w:val="0"/>
              <w:adjustRightInd/>
              <w:snapToGrid/>
              <w:spacing w:line="320" w:lineRule="exact"/>
              <w:textAlignment w:val="auto"/>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xml:space="preserve"> 交通和通信</w:t>
            </w:r>
          </w:p>
        </w:tc>
        <w:tc>
          <w:tcPr>
            <w:tcW w:w="17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3.6</w:t>
            </w:r>
          </w:p>
        </w:tc>
        <w:tc>
          <w:tcPr>
            <w:tcW w:w="15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3.7</w:t>
            </w:r>
          </w:p>
        </w:tc>
        <w:tc>
          <w:tcPr>
            <w:tcW w:w="1691" w:type="dxa"/>
            <w:tcBorders>
              <w:top w:val="single" w:color="auto" w:sz="4" w:space="0"/>
              <w:left w:val="single" w:color="auto" w:sz="4" w:space="0"/>
              <w:bottom w:val="single" w:color="auto" w:sz="4" w:space="0"/>
              <w:right w:val="nil"/>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3.5</w:t>
            </w:r>
          </w:p>
        </w:tc>
      </w:tr>
      <w:tr>
        <w:tblPrEx>
          <w:tblCellMar>
            <w:top w:w="0" w:type="dxa"/>
            <w:left w:w="108" w:type="dxa"/>
            <w:bottom w:w="0" w:type="dxa"/>
            <w:right w:w="108" w:type="dxa"/>
          </w:tblCellMar>
        </w:tblPrEx>
        <w:trPr>
          <w:trHeight w:val="300" w:hRule="atLeast"/>
          <w:jc w:val="center"/>
        </w:trPr>
        <w:tc>
          <w:tcPr>
            <w:tcW w:w="25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val="0"/>
              <w:topLinePunct w:val="0"/>
              <w:autoSpaceDE/>
              <w:autoSpaceDN/>
              <w:bidi w:val="0"/>
              <w:adjustRightInd/>
              <w:snapToGrid/>
              <w:spacing w:line="320" w:lineRule="exact"/>
              <w:textAlignment w:val="auto"/>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xml:space="preserve"> 教育文化和娱乐</w:t>
            </w:r>
          </w:p>
        </w:tc>
        <w:tc>
          <w:tcPr>
            <w:tcW w:w="17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0.7</w:t>
            </w:r>
          </w:p>
        </w:tc>
        <w:tc>
          <w:tcPr>
            <w:tcW w:w="15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0.3</w:t>
            </w:r>
          </w:p>
        </w:tc>
        <w:tc>
          <w:tcPr>
            <w:tcW w:w="1691" w:type="dxa"/>
            <w:tcBorders>
              <w:top w:val="single" w:color="auto" w:sz="4" w:space="0"/>
              <w:left w:val="single" w:color="auto" w:sz="4" w:space="0"/>
              <w:bottom w:val="single" w:color="auto" w:sz="4" w:space="0"/>
              <w:right w:val="nil"/>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1.6</w:t>
            </w:r>
          </w:p>
        </w:tc>
      </w:tr>
      <w:tr>
        <w:tblPrEx>
          <w:tblCellMar>
            <w:top w:w="0" w:type="dxa"/>
            <w:left w:w="108" w:type="dxa"/>
            <w:bottom w:w="0" w:type="dxa"/>
            <w:right w:w="108" w:type="dxa"/>
          </w:tblCellMar>
        </w:tblPrEx>
        <w:trPr>
          <w:trHeight w:val="300" w:hRule="atLeast"/>
          <w:jc w:val="center"/>
        </w:trPr>
        <w:tc>
          <w:tcPr>
            <w:tcW w:w="25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val="0"/>
              <w:topLinePunct w:val="0"/>
              <w:autoSpaceDE/>
              <w:autoSpaceDN/>
              <w:bidi w:val="0"/>
              <w:adjustRightInd/>
              <w:snapToGrid/>
              <w:spacing w:line="320" w:lineRule="exact"/>
              <w:textAlignment w:val="auto"/>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xml:space="preserve"> 医疗保健</w:t>
            </w:r>
          </w:p>
        </w:tc>
        <w:tc>
          <w:tcPr>
            <w:tcW w:w="17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0.1</w:t>
            </w:r>
          </w:p>
        </w:tc>
        <w:tc>
          <w:tcPr>
            <w:tcW w:w="15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0.3</w:t>
            </w:r>
          </w:p>
        </w:tc>
        <w:tc>
          <w:tcPr>
            <w:tcW w:w="1691" w:type="dxa"/>
            <w:tcBorders>
              <w:top w:val="single" w:color="auto" w:sz="4" w:space="0"/>
              <w:left w:val="single" w:color="auto" w:sz="4" w:space="0"/>
              <w:bottom w:val="single" w:color="auto" w:sz="4" w:space="0"/>
              <w:right w:val="nil"/>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-0.3</w:t>
            </w:r>
          </w:p>
        </w:tc>
      </w:tr>
      <w:tr>
        <w:tblPrEx>
          <w:tblCellMar>
            <w:top w:w="0" w:type="dxa"/>
            <w:left w:w="108" w:type="dxa"/>
            <w:bottom w:w="0" w:type="dxa"/>
            <w:right w:w="108" w:type="dxa"/>
          </w:tblCellMar>
        </w:tblPrEx>
        <w:trPr>
          <w:trHeight w:val="315" w:hRule="atLeast"/>
          <w:jc w:val="center"/>
        </w:trPr>
        <w:tc>
          <w:tcPr>
            <w:tcW w:w="2516" w:type="dxa"/>
            <w:tcBorders>
              <w:top w:val="single" w:color="auto" w:sz="4" w:space="0"/>
              <w:left w:val="nil"/>
              <w:bottom w:val="single" w:color="auto" w:sz="8" w:space="0"/>
              <w:right w:val="single" w:color="auto" w:sz="4" w:space="0"/>
            </w:tcBorders>
            <w:shd w:val="clear" w:color="000000" w:fill="FFFFFF"/>
            <w:noWrap w:val="0"/>
            <w:vAlign w:val="center"/>
          </w:tcPr>
          <w:p>
            <w:pPr>
              <w:keepNext w:val="0"/>
              <w:keepLines w:val="0"/>
              <w:pageBreakBefore w:val="0"/>
              <w:kinsoku/>
              <w:wordWrap/>
              <w:overflowPunct w:val="0"/>
              <w:topLinePunct w:val="0"/>
              <w:autoSpaceDE/>
              <w:autoSpaceDN/>
              <w:bidi w:val="0"/>
              <w:adjustRightInd/>
              <w:snapToGrid/>
              <w:spacing w:line="320" w:lineRule="exact"/>
              <w:textAlignment w:val="auto"/>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xml:space="preserve"> 其他用品和服务</w:t>
            </w:r>
          </w:p>
        </w:tc>
        <w:tc>
          <w:tcPr>
            <w:tcW w:w="17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0.0</w:t>
            </w:r>
          </w:p>
        </w:tc>
        <w:tc>
          <w:tcPr>
            <w:tcW w:w="15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0.0</w:t>
            </w:r>
          </w:p>
        </w:tc>
        <w:tc>
          <w:tcPr>
            <w:tcW w:w="1691" w:type="dxa"/>
            <w:tcBorders>
              <w:top w:val="single" w:color="auto" w:sz="4" w:space="0"/>
              <w:left w:val="single" w:color="auto" w:sz="4" w:space="0"/>
              <w:bottom w:val="single" w:color="auto" w:sz="4" w:space="0"/>
              <w:right w:val="nil"/>
            </w:tcBorders>
            <w:noWrap w:val="0"/>
            <w:tcMar>
              <w:top w:w="0" w:type="dxa"/>
              <w:left w:w="108" w:type="dxa"/>
              <w:bottom w:w="0" w:type="dxa"/>
              <w:right w:w="334" w:type="dxa"/>
            </w:tcMar>
            <w:vAlign w:val="center"/>
          </w:tcPr>
          <w:p>
            <w:pPr>
              <w:keepNext w:val="0"/>
              <w:keepLines w:val="0"/>
              <w:pageBreakBefore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-0.2</w:t>
            </w:r>
          </w:p>
        </w:tc>
      </w:tr>
    </w:tbl>
    <w:p>
      <w:pPr>
        <w:keepNext w:val="0"/>
        <w:keepLines w:val="0"/>
        <w:pageBreakBefore w:val="0"/>
        <w:kinsoku/>
        <w:wordWrap/>
        <w:overflowPunct w:val="0"/>
        <w:topLinePunct w:val="0"/>
        <w:autoSpaceDE/>
        <w:autoSpaceDN/>
        <w:bidi w:val="0"/>
        <w:adjustRightInd/>
        <w:spacing w:line="560" w:lineRule="exact"/>
        <w:ind w:firstLine="640" w:firstLineChars="200"/>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方正仿宋简体" w:cs="Times New Roman"/>
          <w:color w:val="000000"/>
          <w:sz w:val="32"/>
          <w:szCs w:val="32"/>
        </w:rPr>
        <w:t>全年城镇新增就业人数</w:t>
      </w:r>
      <w:r>
        <w:rPr>
          <w:rFonts w:hint="default" w:ascii="Times New Roman" w:hAnsi="Times New Roman" w:eastAsia="方正仿宋简体" w:cs="Times New Roman"/>
          <w:sz w:val="32"/>
          <w:szCs w:val="32"/>
        </w:rPr>
        <w:t>53.31</w:t>
      </w:r>
      <w:r>
        <w:rPr>
          <w:rFonts w:hint="default" w:ascii="Times New Roman" w:hAnsi="Times New Roman" w:eastAsia="方正仿宋简体" w:cs="Times New Roman"/>
          <w:color w:val="000000"/>
          <w:sz w:val="32"/>
          <w:szCs w:val="32"/>
        </w:rPr>
        <w:t>万人，年末全省城镇登记失业率为</w:t>
      </w:r>
      <w:r>
        <w:rPr>
          <w:rFonts w:hint="default" w:ascii="Times New Roman" w:hAnsi="Times New Roman" w:eastAsia="方正仿宋简体" w:cs="Times New Roman"/>
          <w:sz w:val="32"/>
          <w:szCs w:val="32"/>
        </w:rPr>
        <w:t>3.75</w:t>
      </w:r>
      <w:r>
        <w:rPr>
          <w:rFonts w:hint="default" w:ascii="Times New Roman" w:hAnsi="Times New Roman" w:eastAsia="方正仿宋简体" w:cs="Times New Roman"/>
          <w:color w:val="000000"/>
          <w:sz w:val="32"/>
          <w:szCs w:val="32"/>
        </w:rPr>
        <w:t>%。</w:t>
      </w:r>
    </w:p>
    <w:p>
      <w:pPr>
        <w:keepNext w:val="0"/>
        <w:keepLines w:val="0"/>
        <w:pageBreakBefore w:val="0"/>
        <w:kinsoku/>
        <w:wordWrap/>
        <w:overflowPunct w:val="0"/>
        <w:topLinePunct w:val="0"/>
        <w:autoSpaceDE/>
        <w:autoSpaceDN/>
        <w:bidi w:val="0"/>
        <w:adjustRightInd/>
        <w:spacing w:line="240" w:lineRule="auto"/>
        <w:jc w:val="center"/>
        <w:rPr>
          <w:rFonts w:hint="default" w:ascii="Times New Roman" w:hAnsi="Times New Roman" w:eastAsia="仿宋_GB2312" w:cs="Times New Roman"/>
          <w:color w:val="000000"/>
          <w:sz w:val="32"/>
          <w:szCs w:val="32"/>
          <w:highlight w:val="none"/>
        </w:rPr>
      </w:pPr>
      <w:r>
        <w:drawing>
          <wp:inline distT="0" distB="0" distL="114300" distR="114300">
            <wp:extent cx="5418455" cy="3174365"/>
            <wp:effectExtent l="0" t="0" r="1079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418455" cy="3174365"/>
                    </a:xfrm>
                    <a:prstGeom prst="rect">
                      <a:avLst/>
                    </a:prstGeom>
                    <a:noFill/>
                    <a:ln>
                      <a:noFill/>
                    </a:ln>
                  </pic:spPr>
                </pic:pic>
              </a:graphicData>
            </a:graphic>
          </wp:inline>
        </w:drawing>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仿宋_GB2312" w:cs="Times New Roman"/>
          <w:color w:val="000000"/>
          <w:sz w:val="32"/>
          <w:szCs w:val="32"/>
          <w:highlight w:val="none"/>
        </w:rPr>
        <w:t>全年全省农民工总量</w:t>
      </w:r>
      <w:r>
        <w:rPr>
          <w:rStyle w:val="15"/>
          <w:rFonts w:hint="default" w:ascii="Times New Roman" w:hAnsi="Times New Roman" w:eastAsia="仿宋_GB2312" w:cs="Times New Roman"/>
          <w:color w:val="000000"/>
          <w:sz w:val="32"/>
          <w:szCs w:val="32"/>
          <w:highlight w:val="none"/>
        </w:rPr>
        <w:t>[</w:t>
      </w:r>
      <w:r>
        <w:rPr>
          <w:rStyle w:val="15"/>
          <w:rFonts w:hint="default" w:ascii="Times New Roman" w:hAnsi="Times New Roman" w:eastAsia="仿宋_GB2312" w:cs="Times New Roman"/>
          <w:color w:val="000000"/>
          <w:sz w:val="32"/>
          <w:szCs w:val="32"/>
          <w:highlight w:val="none"/>
        </w:rPr>
        <w:endnoteReference w:id="3"/>
      </w:r>
      <w:r>
        <w:rPr>
          <w:rStyle w:val="15"/>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964.14</w:t>
      </w:r>
      <w:r>
        <w:rPr>
          <w:rFonts w:hint="default" w:ascii="Times New Roman" w:hAnsi="Times New Roman" w:eastAsia="仿宋_GB2312" w:cs="Times New Roman"/>
          <w:color w:val="000000"/>
          <w:sz w:val="32"/>
          <w:szCs w:val="32"/>
          <w:highlight w:val="none"/>
        </w:rPr>
        <w:t>万人。</w:t>
      </w:r>
      <w:r>
        <w:rPr>
          <w:rFonts w:hint="default" w:ascii="Times New Roman" w:hAnsi="Times New Roman" w:eastAsia="方正仿宋简体" w:cs="Times New Roman"/>
          <w:sz w:val="32"/>
          <w:szCs w:val="32"/>
          <w:highlight w:val="none"/>
        </w:rPr>
        <w:t>其中，本地农民工</w:t>
      </w:r>
      <w:r>
        <w:rPr>
          <w:rFonts w:hint="default" w:ascii="Times New Roman" w:hAnsi="Times New Roman" w:eastAsia="方正仿宋简体" w:cs="Times New Roman"/>
          <w:sz w:val="32"/>
          <w:szCs w:val="32"/>
          <w:highlight w:val="none"/>
          <w:lang w:val="en-US" w:eastAsia="zh-CN"/>
        </w:rPr>
        <w:t>361.30</w:t>
      </w:r>
      <w:r>
        <w:rPr>
          <w:rFonts w:hint="default" w:ascii="Times New Roman" w:hAnsi="Times New Roman" w:eastAsia="方正仿宋简体" w:cs="Times New Roman"/>
          <w:sz w:val="32"/>
          <w:szCs w:val="32"/>
          <w:highlight w:val="none"/>
        </w:rPr>
        <w:t>万人，比上年增加</w:t>
      </w:r>
      <w:r>
        <w:rPr>
          <w:rFonts w:hint="default" w:ascii="Times New Roman" w:hAnsi="Times New Roman" w:eastAsia="方正仿宋简体" w:cs="Times New Roman"/>
          <w:sz w:val="32"/>
          <w:szCs w:val="32"/>
          <w:highlight w:val="none"/>
          <w:lang w:val="en-US" w:eastAsia="zh-CN"/>
        </w:rPr>
        <w:t>23.51</w:t>
      </w:r>
      <w:r>
        <w:rPr>
          <w:rFonts w:hint="default" w:ascii="Times New Roman" w:hAnsi="Times New Roman" w:eastAsia="方正仿宋简体" w:cs="Times New Roman"/>
          <w:sz w:val="32"/>
          <w:szCs w:val="32"/>
          <w:highlight w:val="none"/>
        </w:rPr>
        <w:t>万人，增长</w:t>
      </w:r>
      <w:r>
        <w:rPr>
          <w:rFonts w:hint="default" w:ascii="Times New Roman" w:hAnsi="Times New Roman" w:eastAsia="方正仿宋简体" w:cs="Times New Roman"/>
          <w:sz w:val="32"/>
          <w:szCs w:val="32"/>
          <w:highlight w:val="none"/>
          <w:lang w:val="en-US" w:eastAsia="zh-CN"/>
        </w:rPr>
        <w:t>7.0</w:t>
      </w:r>
      <w:r>
        <w:rPr>
          <w:rFonts w:hint="default" w:ascii="Times New Roman" w:hAnsi="Times New Roman" w:eastAsia="方正仿宋简体" w:cs="Times New Roman"/>
          <w:sz w:val="32"/>
          <w:szCs w:val="32"/>
          <w:highlight w:val="none"/>
        </w:rPr>
        <w:t>%；外出农民工</w:t>
      </w:r>
      <w:r>
        <w:rPr>
          <w:rFonts w:hint="default" w:ascii="Times New Roman" w:hAnsi="Times New Roman" w:eastAsia="方正仿宋简体" w:cs="Times New Roman"/>
          <w:sz w:val="32"/>
          <w:szCs w:val="32"/>
          <w:highlight w:val="none"/>
          <w:lang w:val="en-US" w:eastAsia="zh-CN"/>
        </w:rPr>
        <w:t>602.83</w:t>
      </w:r>
      <w:r>
        <w:rPr>
          <w:rFonts w:hint="default" w:ascii="Times New Roman" w:hAnsi="Times New Roman" w:eastAsia="方正仿宋简体" w:cs="Times New Roman"/>
          <w:sz w:val="32"/>
          <w:szCs w:val="32"/>
          <w:highlight w:val="none"/>
        </w:rPr>
        <w:t>万人，比上年增加</w:t>
      </w:r>
      <w:r>
        <w:rPr>
          <w:rFonts w:hint="default" w:ascii="Times New Roman" w:hAnsi="Times New Roman" w:eastAsia="方正仿宋简体" w:cs="Times New Roman"/>
          <w:sz w:val="32"/>
          <w:szCs w:val="32"/>
          <w:highlight w:val="none"/>
          <w:lang w:val="en-US" w:eastAsia="zh-CN"/>
        </w:rPr>
        <w:t>5.90</w:t>
      </w:r>
      <w:r>
        <w:rPr>
          <w:rFonts w:hint="default" w:ascii="Times New Roman" w:hAnsi="Times New Roman" w:eastAsia="方正仿宋简体" w:cs="Times New Roman"/>
          <w:sz w:val="32"/>
          <w:szCs w:val="32"/>
          <w:highlight w:val="none"/>
        </w:rPr>
        <w:t>万人，增长</w:t>
      </w:r>
      <w:r>
        <w:rPr>
          <w:rFonts w:hint="default" w:ascii="Times New Roman" w:hAnsi="Times New Roman" w:eastAsia="方正仿宋简体" w:cs="Times New Roman"/>
          <w:sz w:val="32"/>
          <w:szCs w:val="32"/>
          <w:highlight w:val="none"/>
          <w:lang w:val="en-US" w:eastAsia="zh-CN"/>
        </w:rPr>
        <w:t>1.0</w:t>
      </w:r>
      <w:r>
        <w:rPr>
          <w:rFonts w:hint="default" w:ascii="Times New Roman" w:hAnsi="Times New Roman" w:eastAsia="方正仿宋简体" w:cs="Times New Roman"/>
          <w:sz w:val="32"/>
          <w:szCs w:val="32"/>
          <w:highlight w:val="none"/>
        </w:rPr>
        <w:t>%。</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全年全员劳动生产率</w:t>
      </w:r>
      <w:r>
        <w:rPr>
          <w:rStyle w:val="15"/>
          <w:rFonts w:hint="default" w:ascii="Times New Roman" w:hAnsi="Times New Roman" w:eastAsia="仿宋_GB2312" w:cs="Times New Roman"/>
          <w:sz w:val="32"/>
          <w:szCs w:val="32"/>
        </w:rPr>
        <w:t>[</w:t>
      </w:r>
      <w:r>
        <w:rPr>
          <w:rStyle w:val="15"/>
          <w:rFonts w:hint="default" w:ascii="Times New Roman" w:hAnsi="Times New Roman" w:eastAsia="仿宋_GB2312" w:cs="Times New Roman"/>
          <w:sz w:val="32"/>
          <w:szCs w:val="32"/>
        </w:rPr>
        <w:endnoteReference w:id="4"/>
      </w:r>
      <w:r>
        <w:rPr>
          <w:rStyle w:val="15"/>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9.40万元/人，比上年提高7.5%。</w:t>
      </w:r>
    </w:p>
    <w:p>
      <w:pPr>
        <w:pStyle w:val="2"/>
        <w:keepNext w:val="0"/>
        <w:keepLines w:val="0"/>
        <w:pageBreakBefore w:val="0"/>
        <w:kinsoku/>
        <w:wordWrap/>
        <w:overflowPunct w:val="0"/>
        <w:topLinePunct w:val="0"/>
        <w:autoSpaceDE/>
        <w:autoSpaceDN/>
        <w:bidi w:val="0"/>
        <w:adjustRightInd/>
        <w:spacing w:line="240" w:lineRule="auto"/>
        <w:ind w:left="0" w:leftChars="0" w:firstLine="0" w:firstLineChars="0"/>
        <w:jc w:val="center"/>
        <w:rPr>
          <w:rFonts w:hint="default" w:ascii="Times New Roman" w:hAnsi="Times New Roman" w:eastAsia="黑体" w:cs="Times New Roman"/>
          <w:bCs/>
          <w:sz w:val="32"/>
          <w:szCs w:val="32"/>
        </w:rPr>
      </w:pPr>
      <w:r>
        <w:drawing>
          <wp:inline distT="0" distB="0" distL="114300" distR="114300">
            <wp:extent cx="5376545" cy="3241675"/>
            <wp:effectExtent l="0" t="0" r="14605"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5376545" cy="3241675"/>
                    </a:xfrm>
                    <a:prstGeom prst="rect">
                      <a:avLst/>
                    </a:prstGeom>
                    <a:noFill/>
                    <a:ln>
                      <a:noFill/>
                    </a:ln>
                  </pic:spPr>
                </pic:pic>
              </a:graphicData>
            </a:graphic>
          </wp:inline>
        </w:drawing>
      </w:r>
    </w:p>
    <w:p>
      <w:pPr>
        <w:keepNext w:val="0"/>
        <w:keepLines w:val="0"/>
        <w:pageBreakBefore w:val="0"/>
        <w:kinsoku/>
        <w:wordWrap/>
        <w:overflowPunct w:val="0"/>
        <w:topLinePunct w:val="0"/>
        <w:autoSpaceDE/>
        <w:autoSpaceDN/>
        <w:bidi w:val="0"/>
        <w:adjustRightInd/>
        <w:spacing w:before="156" w:beforeLines="50" w:after="156" w:afterLines="50" w:line="56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二、农  业</w:t>
      </w:r>
    </w:p>
    <w:p>
      <w:pPr>
        <w:keepNext w:val="0"/>
        <w:keepLines w:val="0"/>
        <w:pageBreakBefore w:val="0"/>
        <w:kinsoku/>
        <w:wordWrap/>
        <w:overflowPunct w:val="0"/>
        <w:topLinePunct w:val="0"/>
        <w:autoSpaceDE/>
        <w:autoSpaceDN/>
        <w:bidi w:val="0"/>
        <w:adjustRightInd/>
        <w:spacing w:line="56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全省农林牧渔业总产值</w:t>
      </w:r>
      <w:r>
        <w:rPr>
          <w:rFonts w:hint="default" w:ascii="Times New Roman" w:hAnsi="Times New Roman" w:eastAsia="方正仿宋简体" w:cs="Times New Roman"/>
          <w:sz w:val="32"/>
          <w:szCs w:val="32"/>
          <w:lang w:val="en" w:eastAsia="zh-CN"/>
        </w:rPr>
        <w:t>6351.82</w:t>
      </w:r>
      <w:r>
        <w:rPr>
          <w:rFonts w:hint="default" w:ascii="Times New Roman" w:hAnsi="Times New Roman" w:eastAsia="方正仿宋简体" w:cs="Times New Roman"/>
          <w:sz w:val="32"/>
          <w:szCs w:val="32"/>
        </w:rPr>
        <w:t>亿元，比上年增长</w:t>
      </w:r>
      <w:r>
        <w:rPr>
          <w:rFonts w:hint="default" w:ascii="Times New Roman" w:hAnsi="Times New Roman" w:eastAsia="方正仿宋简体" w:cs="Times New Roman"/>
          <w:sz w:val="32"/>
          <w:szCs w:val="32"/>
          <w:lang w:val="en" w:eastAsia="zh-CN"/>
        </w:rPr>
        <w:t>10.4</w:t>
      </w:r>
      <w:r>
        <w:rPr>
          <w:rFonts w:hint="default" w:ascii="Times New Roman" w:hAnsi="Times New Roman" w:eastAsia="方正仿宋简体" w:cs="Times New Roman"/>
          <w:sz w:val="32"/>
          <w:szCs w:val="32"/>
        </w:rPr>
        <w:t>%。其中，农业产值</w:t>
      </w:r>
      <w:r>
        <w:rPr>
          <w:rFonts w:hint="default" w:ascii="Times New Roman" w:hAnsi="Times New Roman" w:eastAsia="方正仿宋简体" w:cs="Times New Roman"/>
          <w:sz w:val="32"/>
          <w:szCs w:val="32"/>
          <w:lang w:val="en" w:eastAsia="zh-CN"/>
        </w:rPr>
        <w:t>3441.47</w:t>
      </w:r>
      <w:r>
        <w:rPr>
          <w:rFonts w:hint="default" w:ascii="Times New Roman" w:hAnsi="Times New Roman" w:eastAsia="方正仿宋简体" w:cs="Times New Roman"/>
          <w:sz w:val="32"/>
          <w:szCs w:val="32"/>
        </w:rPr>
        <w:t>亿元，增长</w:t>
      </w:r>
      <w:r>
        <w:rPr>
          <w:rFonts w:hint="eastAsia" w:ascii="Times New Roman" w:hAnsi="Times New Roman" w:eastAsia="方正仿宋简体" w:cs="Times New Roman"/>
          <w:sz w:val="32"/>
          <w:szCs w:val="32"/>
          <w:lang w:val="en-US" w:eastAsia="zh-CN"/>
        </w:rPr>
        <w:t>7.8</w:t>
      </w:r>
      <w:r>
        <w:rPr>
          <w:rFonts w:hint="default" w:ascii="Times New Roman" w:hAnsi="Times New Roman" w:eastAsia="方正仿宋简体" w:cs="Times New Roman"/>
          <w:sz w:val="32"/>
          <w:szCs w:val="32"/>
        </w:rPr>
        <w:t>%；林业产值</w:t>
      </w:r>
      <w:r>
        <w:rPr>
          <w:rFonts w:hint="default" w:ascii="Times New Roman" w:hAnsi="Times New Roman" w:eastAsia="方正仿宋简体" w:cs="Times New Roman"/>
          <w:sz w:val="32"/>
          <w:szCs w:val="32"/>
          <w:lang w:val="en" w:eastAsia="zh-CN"/>
        </w:rPr>
        <w:t>497.33</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 w:eastAsia="zh-CN"/>
        </w:rPr>
        <w:t>5.5</w:t>
      </w:r>
      <w:r>
        <w:rPr>
          <w:rFonts w:hint="default" w:ascii="Times New Roman" w:hAnsi="Times New Roman" w:eastAsia="方正仿宋简体" w:cs="Times New Roman"/>
          <w:sz w:val="32"/>
          <w:szCs w:val="32"/>
        </w:rPr>
        <w:t>%；牧业产值</w:t>
      </w:r>
      <w:r>
        <w:rPr>
          <w:rFonts w:hint="default" w:ascii="Times New Roman" w:hAnsi="Times New Roman" w:eastAsia="方正仿宋简体" w:cs="Times New Roman"/>
          <w:sz w:val="32"/>
          <w:szCs w:val="32"/>
          <w:lang w:val="en" w:eastAsia="zh-CN"/>
        </w:rPr>
        <w:t>2113.31</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 w:eastAsia="zh-CN"/>
        </w:rPr>
        <w:t>15.</w:t>
      </w:r>
      <w:r>
        <w:rPr>
          <w:rFonts w:hint="eastAsia"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%；渔业产值</w:t>
      </w:r>
      <w:r>
        <w:rPr>
          <w:rFonts w:hint="default" w:ascii="Times New Roman" w:hAnsi="Times New Roman" w:eastAsia="方正仿宋简体" w:cs="Times New Roman"/>
          <w:sz w:val="32"/>
          <w:szCs w:val="32"/>
          <w:lang w:val="en" w:eastAsia="zh-CN"/>
        </w:rPr>
        <w:t>112.38</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 w:eastAsia="zh-CN"/>
        </w:rPr>
        <w:t>2.7</w:t>
      </w:r>
      <w:r>
        <w:rPr>
          <w:rFonts w:hint="default" w:ascii="Times New Roman" w:hAnsi="Times New Roman" w:eastAsia="方正仿宋简体" w:cs="Times New Roman"/>
          <w:sz w:val="32"/>
          <w:szCs w:val="32"/>
        </w:rPr>
        <w:t>%；农林牧渔</w:t>
      </w:r>
      <w:r>
        <w:rPr>
          <w:rFonts w:hint="default" w:ascii="Times New Roman" w:hAnsi="Times New Roman" w:eastAsia="方正仿宋简体" w:cs="Times New Roman"/>
          <w:sz w:val="32"/>
          <w:szCs w:val="32"/>
          <w:lang w:eastAsia="zh-CN"/>
        </w:rPr>
        <w:t>专业及辅助性活动</w:t>
      </w:r>
      <w:r>
        <w:rPr>
          <w:rFonts w:hint="default" w:ascii="Times New Roman" w:hAnsi="Times New Roman" w:eastAsia="方正仿宋简体" w:cs="Times New Roman"/>
          <w:sz w:val="32"/>
          <w:szCs w:val="32"/>
        </w:rPr>
        <w:t>产值</w:t>
      </w:r>
      <w:r>
        <w:rPr>
          <w:rFonts w:hint="default" w:ascii="Times New Roman" w:hAnsi="Times New Roman" w:eastAsia="方正仿宋简体" w:cs="Times New Roman"/>
          <w:sz w:val="32"/>
          <w:szCs w:val="32"/>
          <w:lang w:val="en-US" w:eastAsia="zh-CN"/>
        </w:rPr>
        <w:t>187.33</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US" w:eastAsia="zh-CN"/>
        </w:rPr>
        <w:t>10.</w:t>
      </w: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w:t>
      </w:r>
    </w:p>
    <w:p>
      <w:pPr>
        <w:keepNext w:val="0"/>
        <w:keepLines w:val="0"/>
        <w:pageBreakBefore w:val="0"/>
        <w:kinsoku/>
        <w:wordWrap/>
        <w:overflowPunct w:val="0"/>
        <w:topLinePunct w:val="0"/>
        <w:autoSpaceDE/>
        <w:autoSpaceDN/>
        <w:bidi w:val="0"/>
        <w:adjustRightInd/>
        <w:spacing w:line="560" w:lineRule="exact"/>
        <w:ind w:left="0" w:leftChars="0"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仿宋_GB2312" w:cs="Times New Roman"/>
          <w:color w:val="auto"/>
          <w:sz w:val="32"/>
          <w:szCs w:val="32"/>
        </w:rPr>
        <w:t>全年粮食总产量</w:t>
      </w:r>
      <w:r>
        <w:rPr>
          <w:rStyle w:val="15"/>
          <w:rFonts w:hint="default" w:ascii="Times New Roman" w:hAnsi="Times New Roman" w:eastAsia="仿宋_GB2312" w:cs="Times New Roman"/>
          <w:color w:val="auto"/>
          <w:sz w:val="32"/>
          <w:szCs w:val="32"/>
        </w:rPr>
        <w:t>[</w:t>
      </w:r>
      <w:r>
        <w:rPr>
          <w:rStyle w:val="15"/>
          <w:rFonts w:hint="default" w:ascii="Times New Roman" w:hAnsi="Times New Roman" w:eastAsia="仿宋_GB2312" w:cs="Times New Roman"/>
          <w:color w:val="auto"/>
          <w:sz w:val="32"/>
          <w:szCs w:val="32"/>
        </w:rPr>
        <w:endnoteReference w:id="5"/>
      </w:r>
      <w:r>
        <w:rPr>
          <w:rStyle w:val="15"/>
          <w:rFonts w:hint="default" w:ascii="Times New Roman" w:hAnsi="Times New Roman" w:eastAsia="仿宋_GB2312" w:cs="Times New Roman"/>
          <w:color w:val="auto"/>
          <w:sz w:val="32"/>
          <w:szCs w:val="32"/>
        </w:rPr>
        <w:t>]</w:t>
      </w:r>
      <w:r>
        <w:rPr>
          <w:rFonts w:hint="default" w:ascii="Times New Roman" w:hAnsi="Times New Roman" w:eastAsia="方正仿宋简体" w:cs="Times New Roman"/>
          <w:color w:val="auto"/>
          <w:sz w:val="32"/>
          <w:szCs w:val="32"/>
          <w:lang w:val="en-US" w:eastAsia="zh-CN"/>
        </w:rPr>
        <w:t>1930.30</w:t>
      </w:r>
      <w:r>
        <w:rPr>
          <w:rFonts w:hint="default" w:ascii="Times New Roman" w:hAnsi="Times New Roman" w:eastAsia="方正仿宋简体" w:cs="Times New Roman"/>
          <w:color w:val="auto"/>
          <w:sz w:val="32"/>
          <w:szCs w:val="32"/>
        </w:rPr>
        <w:t>万吨，比上年增长</w:t>
      </w:r>
      <w:r>
        <w:rPr>
          <w:rFonts w:hint="default" w:ascii="Times New Roman" w:hAnsi="Times New Roman" w:eastAsia="方正仿宋简体" w:cs="Times New Roman"/>
          <w:color w:val="auto"/>
          <w:sz w:val="32"/>
          <w:szCs w:val="32"/>
          <w:lang w:val="en-US" w:eastAsia="zh-CN"/>
        </w:rPr>
        <w:t>1.8</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sz w:val="32"/>
          <w:szCs w:val="32"/>
        </w:rPr>
        <w:t>油料产量</w:t>
      </w:r>
      <w:r>
        <w:rPr>
          <w:rFonts w:hint="default" w:ascii="Times New Roman" w:hAnsi="Times New Roman" w:eastAsia="方正仿宋简体" w:cs="Times New Roman"/>
          <w:sz w:val="32"/>
          <w:szCs w:val="32"/>
          <w:lang w:val="en-US" w:eastAsia="zh-CN"/>
        </w:rPr>
        <w:t>63.89</w:t>
      </w:r>
      <w:r>
        <w:rPr>
          <w:rFonts w:hint="default" w:ascii="Times New Roman" w:hAnsi="Times New Roman" w:eastAsia="方正仿宋简体" w:cs="Times New Roman"/>
          <w:sz w:val="32"/>
          <w:szCs w:val="32"/>
        </w:rPr>
        <w:t>万吨，增长</w:t>
      </w:r>
      <w:r>
        <w:rPr>
          <w:rFonts w:hint="default" w:ascii="Times New Roman" w:hAnsi="Times New Roman" w:eastAsia="方正仿宋简体" w:cs="Times New Roman"/>
          <w:sz w:val="32"/>
          <w:szCs w:val="32"/>
          <w:lang w:val="en-US" w:eastAsia="zh-CN"/>
        </w:rPr>
        <w:t>1.3</w:t>
      </w:r>
      <w:r>
        <w:rPr>
          <w:rFonts w:hint="default" w:ascii="Times New Roman" w:hAnsi="Times New Roman" w:eastAsia="方正仿宋简体" w:cs="Times New Roman"/>
          <w:sz w:val="32"/>
          <w:szCs w:val="32"/>
        </w:rPr>
        <w:t>%；烤烟产量</w:t>
      </w:r>
      <w:r>
        <w:rPr>
          <w:rFonts w:hint="default" w:ascii="Times New Roman" w:hAnsi="Times New Roman" w:eastAsia="方正仿宋简体" w:cs="Times New Roman"/>
          <w:sz w:val="32"/>
          <w:szCs w:val="32"/>
          <w:lang w:val="en-US" w:eastAsia="zh-CN"/>
        </w:rPr>
        <w:t>82.18</w:t>
      </w:r>
      <w:r>
        <w:rPr>
          <w:rFonts w:hint="default" w:ascii="Times New Roman" w:hAnsi="Times New Roman" w:eastAsia="方正仿宋简体" w:cs="Times New Roman"/>
          <w:sz w:val="32"/>
          <w:szCs w:val="32"/>
        </w:rPr>
        <w:t>万吨，增长</w:t>
      </w:r>
      <w:r>
        <w:rPr>
          <w:rFonts w:hint="default" w:ascii="Times New Roman" w:hAnsi="Times New Roman" w:eastAsia="方正仿宋简体" w:cs="Times New Roman"/>
          <w:sz w:val="32"/>
          <w:szCs w:val="32"/>
          <w:lang w:val="en-US" w:eastAsia="zh-CN"/>
        </w:rPr>
        <w:t>0.7</w:t>
      </w:r>
      <w:r>
        <w:rPr>
          <w:rFonts w:hint="default" w:ascii="Times New Roman" w:hAnsi="Times New Roman" w:eastAsia="方正仿宋简体" w:cs="Times New Roman"/>
          <w:sz w:val="32"/>
          <w:szCs w:val="32"/>
        </w:rPr>
        <w:t>%；蔬菜产量</w:t>
      </w:r>
      <w:r>
        <w:rPr>
          <w:rFonts w:hint="default" w:ascii="Times New Roman" w:hAnsi="Times New Roman" w:eastAsia="方正仿宋简体" w:cs="Times New Roman"/>
          <w:sz w:val="32"/>
          <w:szCs w:val="32"/>
          <w:lang w:val="en-US" w:eastAsia="zh-CN"/>
        </w:rPr>
        <w:t>2748.86</w:t>
      </w:r>
      <w:r>
        <w:rPr>
          <w:rFonts w:hint="default" w:ascii="Times New Roman" w:hAnsi="Times New Roman" w:eastAsia="方正仿宋简体" w:cs="Times New Roman"/>
          <w:sz w:val="32"/>
          <w:szCs w:val="32"/>
        </w:rPr>
        <w:t>万吨，增长</w:t>
      </w:r>
      <w:r>
        <w:rPr>
          <w:rFonts w:hint="default" w:ascii="Times New Roman" w:hAnsi="Times New Roman" w:eastAsia="方正仿宋简体" w:cs="Times New Roman"/>
          <w:sz w:val="32"/>
          <w:szCs w:val="32"/>
          <w:lang w:val="en-US" w:eastAsia="zh-CN"/>
        </w:rPr>
        <w:t>9.6</w:t>
      </w:r>
      <w:r>
        <w:rPr>
          <w:rFonts w:hint="default" w:ascii="Times New Roman" w:hAnsi="Times New Roman" w:eastAsia="方正仿宋简体" w:cs="Times New Roman"/>
          <w:sz w:val="32"/>
          <w:szCs w:val="32"/>
        </w:rPr>
        <w:t>%；园林水果产量</w:t>
      </w:r>
      <w:r>
        <w:rPr>
          <w:rFonts w:hint="default" w:ascii="Times New Roman" w:hAnsi="Times New Roman" w:eastAsia="方正仿宋简体" w:cs="Times New Roman"/>
          <w:sz w:val="32"/>
          <w:szCs w:val="32"/>
          <w:lang w:val="en-US" w:eastAsia="zh-CN"/>
        </w:rPr>
        <w:t>1041.82</w:t>
      </w:r>
      <w:r>
        <w:rPr>
          <w:rFonts w:hint="default" w:ascii="Times New Roman" w:hAnsi="Times New Roman" w:eastAsia="方正仿宋简体" w:cs="Times New Roman"/>
          <w:sz w:val="32"/>
          <w:szCs w:val="32"/>
        </w:rPr>
        <w:t>万吨，增长</w:t>
      </w:r>
      <w:r>
        <w:rPr>
          <w:rFonts w:hint="default" w:ascii="Times New Roman" w:hAnsi="Times New Roman" w:eastAsia="方正仿宋简体" w:cs="Times New Roman"/>
          <w:sz w:val="32"/>
          <w:szCs w:val="32"/>
          <w:lang w:val="en-US" w:eastAsia="zh-CN"/>
        </w:rPr>
        <w:t>18.3</w:t>
      </w:r>
      <w:r>
        <w:rPr>
          <w:rFonts w:hint="default" w:ascii="Times New Roman" w:hAnsi="Times New Roman" w:eastAsia="方正仿宋简体" w:cs="Times New Roman"/>
          <w:sz w:val="32"/>
          <w:szCs w:val="32"/>
        </w:rPr>
        <w:t>%；茶叶产量</w:t>
      </w:r>
      <w:r>
        <w:rPr>
          <w:rFonts w:hint="default" w:ascii="Times New Roman" w:hAnsi="Times New Roman" w:eastAsia="方正仿宋简体" w:cs="Times New Roman"/>
          <w:sz w:val="32"/>
          <w:szCs w:val="32"/>
          <w:lang w:val="en-US" w:eastAsia="zh-CN"/>
        </w:rPr>
        <w:t>50.21</w:t>
      </w:r>
      <w:r>
        <w:rPr>
          <w:rFonts w:hint="default" w:ascii="Times New Roman" w:hAnsi="Times New Roman" w:eastAsia="方正仿宋简体" w:cs="Times New Roman"/>
          <w:sz w:val="32"/>
          <w:szCs w:val="32"/>
        </w:rPr>
        <w:t>万吨，增长</w:t>
      </w:r>
      <w:r>
        <w:rPr>
          <w:rFonts w:hint="default" w:ascii="Times New Roman" w:hAnsi="Times New Roman" w:eastAsia="方正仿宋简体" w:cs="Times New Roman"/>
          <w:sz w:val="32"/>
          <w:szCs w:val="32"/>
          <w:lang w:val="en-US" w:eastAsia="zh-CN"/>
        </w:rPr>
        <w:t>8.4</w:t>
      </w:r>
      <w:r>
        <w:rPr>
          <w:rFonts w:hint="default" w:ascii="Times New Roman" w:hAnsi="Times New Roman" w:eastAsia="方正仿宋简体" w:cs="Times New Roman"/>
          <w:sz w:val="32"/>
          <w:szCs w:val="32"/>
        </w:rPr>
        <w:t>%；鲜切花产量</w:t>
      </w:r>
      <w:r>
        <w:rPr>
          <w:rFonts w:hint="default" w:ascii="Times New Roman" w:hAnsi="Times New Roman" w:eastAsia="方正仿宋简体" w:cs="Times New Roman"/>
          <w:sz w:val="32"/>
          <w:szCs w:val="32"/>
          <w:lang w:val="en-US" w:eastAsia="zh-CN"/>
        </w:rPr>
        <w:t>158.33</w:t>
      </w:r>
      <w:r>
        <w:rPr>
          <w:rFonts w:hint="default" w:ascii="Times New Roman" w:hAnsi="Times New Roman" w:eastAsia="方正仿宋简体" w:cs="Times New Roman"/>
          <w:sz w:val="32"/>
          <w:szCs w:val="32"/>
        </w:rPr>
        <w:t>亿枝，增长</w:t>
      </w:r>
      <w:r>
        <w:rPr>
          <w:rFonts w:hint="default" w:ascii="Times New Roman" w:hAnsi="Times New Roman" w:eastAsia="方正仿宋简体" w:cs="Times New Roman"/>
          <w:sz w:val="32"/>
          <w:szCs w:val="32"/>
          <w:lang w:val="en-US" w:eastAsia="zh-CN"/>
        </w:rPr>
        <w:t>8.0</w:t>
      </w:r>
      <w:r>
        <w:rPr>
          <w:rFonts w:hint="default" w:ascii="Times New Roman" w:hAnsi="Times New Roman" w:eastAsia="方正仿宋简体" w:cs="Times New Roman"/>
          <w:sz w:val="32"/>
          <w:szCs w:val="32"/>
        </w:rPr>
        <w:t>%。</w:t>
      </w:r>
    </w:p>
    <w:p>
      <w:pPr>
        <w:keepNext w:val="0"/>
        <w:keepLines w:val="0"/>
        <w:pageBreakBefore w:val="0"/>
        <w:kinsoku/>
        <w:wordWrap/>
        <w:overflowPunct w:val="0"/>
        <w:topLinePunct w:val="0"/>
        <w:autoSpaceDE/>
        <w:autoSpaceDN/>
        <w:bidi w:val="0"/>
        <w:adjustRightInd/>
        <w:spacing w:line="560" w:lineRule="exact"/>
        <w:ind w:left="0" w:leftChars="0" w:firstLine="640" w:firstLineChars="200"/>
        <w:jc w:val="left"/>
        <w:rPr>
          <w:rFonts w:hint="default" w:ascii="Times New Roman" w:hAnsi="Times New Roman" w:cs="Times New Roman"/>
        </w:rPr>
      </w:pPr>
      <w:r>
        <w:rPr>
          <w:rFonts w:hint="default" w:ascii="Times New Roman" w:hAnsi="Times New Roman" w:eastAsia="仿宋_GB2312" w:cs="Times New Roman"/>
          <w:color w:val="auto"/>
          <w:sz w:val="32"/>
          <w:szCs w:val="32"/>
        </w:rPr>
        <w:t>全年猪牛羊禽肉总产量</w:t>
      </w:r>
      <w:r>
        <w:rPr>
          <w:rStyle w:val="15"/>
          <w:rFonts w:hint="default" w:ascii="Times New Roman" w:hAnsi="Times New Roman" w:eastAsia="仿宋_GB2312" w:cs="Times New Roman"/>
          <w:color w:val="auto"/>
          <w:sz w:val="32"/>
          <w:szCs w:val="32"/>
        </w:rPr>
        <w:t>[</w:t>
      </w:r>
      <w:r>
        <w:rPr>
          <w:rStyle w:val="15"/>
          <w:rFonts w:hint="default" w:ascii="Times New Roman" w:hAnsi="Times New Roman" w:eastAsia="仿宋_GB2312" w:cs="Times New Roman"/>
          <w:color w:val="auto"/>
          <w:sz w:val="32"/>
          <w:szCs w:val="32"/>
        </w:rPr>
        <w:endnoteReference w:id="6"/>
      </w:r>
      <w:r>
        <w:rPr>
          <w:rStyle w:val="15"/>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486.75</w:t>
      </w:r>
      <w:r>
        <w:rPr>
          <w:rFonts w:hint="default" w:ascii="Times New Roman" w:hAnsi="Times New Roman" w:eastAsia="仿宋_GB2312" w:cs="Times New Roman"/>
          <w:color w:val="auto"/>
          <w:sz w:val="32"/>
          <w:szCs w:val="32"/>
        </w:rPr>
        <w:t>万吨，</w:t>
      </w:r>
      <w:r>
        <w:rPr>
          <w:rFonts w:hint="eastAsia" w:ascii="Times New Roman" w:hAnsi="Times New Roman" w:eastAsia="仿宋_GB2312" w:cs="Times New Roman"/>
          <w:color w:val="auto"/>
          <w:sz w:val="32"/>
          <w:szCs w:val="32"/>
          <w:lang w:eastAsia="zh-CN"/>
        </w:rPr>
        <w:t>比上年</w:t>
      </w:r>
      <w:r>
        <w:rPr>
          <w:rFonts w:hint="default" w:ascii="Times New Roman" w:hAnsi="Times New Roman" w:eastAsia="方正仿宋简体" w:cs="Times New Roman"/>
          <w:color w:val="auto"/>
          <w:sz w:val="32"/>
          <w:szCs w:val="32"/>
        </w:rPr>
        <w:t>增长</w:t>
      </w:r>
      <w:r>
        <w:rPr>
          <w:rFonts w:hint="default" w:ascii="Times New Roman" w:hAnsi="Times New Roman" w:eastAsia="方正仿宋简体" w:cs="Times New Roman"/>
          <w:color w:val="auto"/>
          <w:sz w:val="32"/>
          <w:szCs w:val="32"/>
          <w:lang w:val="en-US" w:eastAsia="zh-CN"/>
        </w:rPr>
        <w:t>17.0</w:t>
      </w:r>
      <w:r>
        <w:rPr>
          <w:rFonts w:hint="default" w:ascii="Times New Roman" w:hAnsi="Times New Roman" w:eastAsia="方正仿宋简体" w:cs="Times New Roman"/>
          <w:color w:val="auto"/>
          <w:sz w:val="32"/>
          <w:szCs w:val="32"/>
        </w:rPr>
        <w:t>%；牛奶产量</w:t>
      </w:r>
      <w:r>
        <w:rPr>
          <w:rFonts w:hint="default" w:ascii="Times New Roman" w:hAnsi="Times New Roman" w:eastAsia="方正仿宋简体" w:cs="Times New Roman"/>
          <w:color w:val="auto"/>
          <w:sz w:val="32"/>
          <w:szCs w:val="32"/>
          <w:lang w:val="en-US" w:eastAsia="zh-CN"/>
        </w:rPr>
        <w:t>68.39</w:t>
      </w:r>
      <w:r>
        <w:rPr>
          <w:rFonts w:hint="default" w:ascii="Times New Roman" w:hAnsi="Times New Roman" w:eastAsia="方正仿宋简体" w:cs="Times New Roman"/>
          <w:color w:val="auto"/>
          <w:sz w:val="32"/>
          <w:szCs w:val="32"/>
        </w:rPr>
        <w:t>万吨，增长</w:t>
      </w:r>
      <w:r>
        <w:rPr>
          <w:rFonts w:hint="default" w:ascii="Times New Roman" w:hAnsi="Times New Roman" w:eastAsia="方正仿宋简体" w:cs="Times New Roman"/>
          <w:color w:val="auto"/>
          <w:sz w:val="32"/>
          <w:szCs w:val="32"/>
          <w:lang w:val="en-US" w:eastAsia="zh-CN"/>
        </w:rPr>
        <w:t>1.6</w:t>
      </w:r>
      <w:r>
        <w:rPr>
          <w:rFonts w:hint="default" w:ascii="Times New Roman" w:hAnsi="Times New Roman" w:eastAsia="方正仿宋简体" w:cs="Times New Roman"/>
          <w:color w:val="auto"/>
          <w:sz w:val="32"/>
          <w:szCs w:val="32"/>
        </w:rPr>
        <w:t xml:space="preserve"> %；禽蛋产量</w:t>
      </w:r>
      <w:r>
        <w:rPr>
          <w:rFonts w:hint="default" w:ascii="Times New Roman" w:hAnsi="Times New Roman" w:eastAsia="方正仿宋简体" w:cs="Times New Roman"/>
          <w:color w:val="auto"/>
          <w:sz w:val="32"/>
          <w:szCs w:val="32"/>
          <w:lang w:val="en-US" w:eastAsia="zh-CN"/>
        </w:rPr>
        <w:t>41.72</w:t>
      </w:r>
      <w:r>
        <w:rPr>
          <w:rFonts w:hint="default" w:ascii="Times New Roman" w:hAnsi="Times New Roman" w:eastAsia="方正仿宋简体" w:cs="Times New Roman"/>
          <w:color w:val="auto"/>
          <w:sz w:val="32"/>
          <w:szCs w:val="32"/>
        </w:rPr>
        <w:t>万吨，</w:t>
      </w:r>
      <w:r>
        <w:rPr>
          <w:rFonts w:hint="eastAsia" w:ascii="Times New Roman" w:hAnsi="Times New Roman" w:eastAsia="方正仿宋简体" w:cs="Times New Roman"/>
          <w:color w:val="auto"/>
          <w:sz w:val="32"/>
          <w:szCs w:val="32"/>
          <w:lang w:val="en-US" w:eastAsia="zh-CN"/>
        </w:rPr>
        <w:t>下降</w:t>
      </w:r>
      <w:r>
        <w:rPr>
          <w:rFonts w:hint="default" w:ascii="Times New Roman" w:hAnsi="Times New Roman" w:eastAsia="方正仿宋简体" w:cs="Times New Roman"/>
          <w:color w:val="auto"/>
          <w:sz w:val="32"/>
          <w:szCs w:val="32"/>
          <w:lang w:val="en-US" w:eastAsia="zh-CN"/>
        </w:rPr>
        <w:t>0.1</w:t>
      </w:r>
      <w:r>
        <w:rPr>
          <w:rFonts w:hint="default" w:ascii="Times New Roman" w:hAnsi="Times New Roman" w:eastAsia="方正仿宋简体" w:cs="Times New Roman"/>
          <w:color w:val="auto"/>
          <w:sz w:val="32"/>
          <w:szCs w:val="32"/>
        </w:rPr>
        <w:t>%。</w:t>
      </w:r>
    </w:p>
    <w:p>
      <w:pPr>
        <w:pStyle w:val="2"/>
        <w:keepNext w:val="0"/>
        <w:keepLines w:val="0"/>
        <w:pageBreakBefore w:val="0"/>
        <w:kinsoku/>
        <w:wordWrap/>
        <w:overflowPunct w:val="0"/>
        <w:topLinePunct w:val="0"/>
        <w:autoSpaceDE/>
        <w:autoSpaceDN/>
        <w:bidi w:val="0"/>
        <w:adjustRightInd/>
        <w:spacing w:line="240" w:lineRule="auto"/>
        <w:ind w:left="0" w:leftChars="0" w:firstLine="0" w:firstLineChars="0"/>
        <w:jc w:val="center"/>
        <w:rPr>
          <w:rFonts w:hint="default" w:ascii="Times New Roman" w:hAnsi="Times New Roman" w:eastAsia="仿宋_GB2312" w:cs="Times New Roman"/>
          <w:color w:val="000000"/>
          <w:sz w:val="32"/>
          <w:szCs w:val="32"/>
        </w:rPr>
      </w:pPr>
      <w:r>
        <w:drawing>
          <wp:inline distT="0" distB="0" distL="114300" distR="114300">
            <wp:extent cx="5448935" cy="3285490"/>
            <wp:effectExtent l="0" t="0" r="1841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448935" cy="3285490"/>
                    </a:xfrm>
                    <a:prstGeom prst="rect">
                      <a:avLst/>
                    </a:prstGeom>
                    <a:noFill/>
                    <a:ln>
                      <a:noFill/>
                    </a:ln>
                  </pic:spPr>
                </pic:pic>
              </a:graphicData>
            </a:graphic>
          </wp:inline>
        </w:drawing>
      </w:r>
    </w:p>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方正黑体简体" w:cs="Times New Roman"/>
          <w:kern w:val="0"/>
          <w:sz w:val="28"/>
          <w:szCs w:val="28"/>
        </w:rPr>
      </w:pPr>
      <w:r>
        <w:rPr>
          <w:rFonts w:hint="default" w:ascii="Times New Roman" w:hAnsi="Times New Roman" w:eastAsia="方正黑体简体" w:cs="Times New Roman"/>
          <w:kern w:val="0"/>
          <w:sz w:val="28"/>
          <w:szCs w:val="28"/>
        </w:rPr>
        <w:t>表2  202</w:t>
      </w:r>
      <w:r>
        <w:rPr>
          <w:rFonts w:hint="default" w:ascii="Times New Roman" w:hAnsi="Times New Roman" w:eastAsia="方正黑体简体" w:cs="Times New Roman"/>
          <w:kern w:val="0"/>
          <w:sz w:val="28"/>
          <w:szCs w:val="28"/>
          <w:lang w:val="en-US" w:eastAsia="zh-CN"/>
        </w:rPr>
        <w:t>1</w:t>
      </w:r>
      <w:r>
        <w:rPr>
          <w:rFonts w:hint="default" w:ascii="Times New Roman" w:hAnsi="Times New Roman" w:eastAsia="方正黑体简体" w:cs="Times New Roman"/>
          <w:kern w:val="0"/>
          <w:sz w:val="28"/>
          <w:szCs w:val="28"/>
        </w:rPr>
        <w:t>年云南主要农产品产量及增长速度</w:t>
      </w:r>
      <w:r>
        <w:rPr>
          <w:rStyle w:val="15"/>
          <w:rFonts w:hint="default" w:ascii="Times New Roman" w:hAnsi="Times New Roman" w:eastAsia="方正黑体简体" w:cs="Times New Roman"/>
          <w:kern w:val="0"/>
          <w:sz w:val="28"/>
          <w:szCs w:val="28"/>
        </w:rPr>
        <w:t>[</w:t>
      </w:r>
      <w:r>
        <w:rPr>
          <w:rStyle w:val="15"/>
          <w:rFonts w:hint="default" w:ascii="Times New Roman" w:hAnsi="Times New Roman" w:eastAsia="方正黑体简体" w:cs="Times New Roman"/>
          <w:kern w:val="0"/>
          <w:sz w:val="28"/>
          <w:szCs w:val="28"/>
        </w:rPr>
        <w:endnoteReference w:id="7"/>
      </w:r>
      <w:r>
        <w:rPr>
          <w:rStyle w:val="15"/>
          <w:rFonts w:hint="default" w:ascii="Times New Roman" w:hAnsi="Times New Roman" w:eastAsia="方正黑体简体" w:cs="Times New Roman"/>
          <w:kern w:val="0"/>
          <w:sz w:val="28"/>
          <w:szCs w:val="28"/>
        </w:rPr>
        <w:t>]</w:t>
      </w:r>
    </w:p>
    <w:tbl>
      <w:tblPr>
        <w:tblStyle w:val="13"/>
        <w:tblW w:w="0" w:type="auto"/>
        <w:jc w:val="center"/>
        <w:tblLayout w:type="fixed"/>
        <w:tblCellMar>
          <w:top w:w="15" w:type="dxa"/>
          <w:left w:w="15" w:type="dxa"/>
          <w:bottom w:w="15" w:type="dxa"/>
          <w:right w:w="15" w:type="dxa"/>
        </w:tblCellMar>
      </w:tblPr>
      <w:tblGrid>
        <w:gridCol w:w="3073"/>
        <w:gridCol w:w="2340"/>
        <w:gridCol w:w="2250"/>
      </w:tblGrid>
      <w:tr>
        <w:tblPrEx>
          <w:tblCellMar>
            <w:top w:w="15" w:type="dxa"/>
            <w:left w:w="15" w:type="dxa"/>
            <w:bottom w:w="15" w:type="dxa"/>
            <w:right w:w="15" w:type="dxa"/>
          </w:tblCellMar>
        </w:tblPrEx>
        <w:trPr>
          <w:trHeight w:val="690" w:hRule="atLeast"/>
          <w:jc w:val="center"/>
        </w:trPr>
        <w:tc>
          <w:tcPr>
            <w:tcW w:w="3073" w:type="dxa"/>
            <w:tcBorders>
              <w:top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rPr>
              <w:t>产品名称</w:t>
            </w:r>
          </w:p>
        </w:tc>
        <w:tc>
          <w:tcPr>
            <w:tcW w:w="2340" w:type="dxa"/>
            <w:tcBorders>
              <w:top w:val="single" w:color="000000" w:sz="12"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eastAsia" w:ascii="Times New Roman" w:hAnsi="Times New Roman" w:eastAsia="宋体" w:cs="Times New Roman"/>
                <w:b/>
                <w:bCs/>
                <w:color w:val="000000"/>
                <w:sz w:val="24"/>
                <w:szCs w:val="24"/>
                <w:lang w:eastAsia="zh-CN"/>
              </w:rPr>
            </w:pPr>
            <w:r>
              <w:rPr>
                <w:rFonts w:hint="default" w:ascii="Times New Roman" w:hAnsi="Times New Roman" w:cs="Times New Roman"/>
                <w:b/>
                <w:bCs/>
                <w:color w:val="000000"/>
                <w:kern w:val="0"/>
                <w:sz w:val="24"/>
                <w:szCs w:val="24"/>
              </w:rPr>
              <w:t>产量</w:t>
            </w:r>
            <w:r>
              <w:rPr>
                <w:rFonts w:hint="eastAsia" w:ascii="Times New Roman" w:hAnsi="Times New Roman" w:cs="Times New Roman"/>
                <w:b/>
                <w:bCs/>
                <w:color w:val="000000"/>
                <w:kern w:val="0"/>
                <w:sz w:val="24"/>
                <w:szCs w:val="24"/>
                <w:lang w:eastAsia="zh-CN"/>
              </w:rPr>
              <w:t>（</w:t>
            </w:r>
            <w:r>
              <w:rPr>
                <w:rFonts w:hint="default" w:ascii="Times New Roman" w:hAnsi="Times New Roman" w:cs="Times New Roman"/>
                <w:b/>
                <w:bCs/>
                <w:color w:val="000000"/>
                <w:kern w:val="0"/>
                <w:sz w:val="24"/>
                <w:szCs w:val="24"/>
              </w:rPr>
              <w:t>万吨</w:t>
            </w:r>
            <w:r>
              <w:rPr>
                <w:rFonts w:hint="eastAsia" w:ascii="Times New Roman" w:hAnsi="Times New Roman" w:cs="Times New Roman"/>
                <w:b/>
                <w:bCs/>
                <w:color w:val="000000"/>
                <w:kern w:val="0"/>
                <w:sz w:val="24"/>
                <w:szCs w:val="24"/>
                <w:lang w:eastAsia="zh-CN"/>
              </w:rPr>
              <w:t>）</w:t>
            </w:r>
          </w:p>
        </w:tc>
        <w:tc>
          <w:tcPr>
            <w:tcW w:w="2250" w:type="dxa"/>
            <w:tcBorders>
              <w:top w:val="single" w:color="000000" w:sz="12" w:space="0"/>
              <w:left w:val="nil"/>
              <w:bottom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eastAsia" w:ascii="Times New Roman" w:hAnsi="Times New Roman" w:eastAsia="宋体" w:cs="Times New Roman"/>
                <w:b/>
                <w:bCs/>
                <w:color w:val="000000"/>
                <w:sz w:val="24"/>
                <w:szCs w:val="24"/>
                <w:lang w:eastAsia="zh-CN"/>
              </w:rPr>
            </w:pPr>
            <w:r>
              <w:rPr>
                <w:rFonts w:hint="default" w:ascii="Times New Roman" w:hAnsi="Times New Roman" w:cs="Times New Roman"/>
                <w:b/>
                <w:bCs/>
                <w:color w:val="000000"/>
                <w:kern w:val="0"/>
                <w:sz w:val="24"/>
                <w:szCs w:val="24"/>
              </w:rPr>
              <w:t>比上年增长</w:t>
            </w:r>
            <w:r>
              <w:rPr>
                <w:rFonts w:hint="eastAsia" w:ascii="Times New Roman" w:hAnsi="Times New Roman" w:cs="Times New Roman"/>
                <w:b/>
                <w:bCs/>
                <w:color w:val="000000"/>
                <w:kern w:val="0"/>
                <w:sz w:val="24"/>
                <w:szCs w:val="24"/>
                <w:lang w:eastAsia="zh-CN"/>
              </w:rPr>
              <w:t>（</w:t>
            </w:r>
            <w:r>
              <w:rPr>
                <w:rFonts w:hint="default" w:ascii="Times New Roman" w:hAnsi="Times New Roman" w:cs="Times New Roman"/>
                <w:b/>
                <w:bCs/>
                <w:color w:val="000000"/>
                <w:kern w:val="0"/>
                <w:sz w:val="24"/>
                <w:szCs w:val="24"/>
              </w:rPr>
              <w:t>%</w:t>
            </w:r>
            <w:r>
              <w:rPr>
                <w:rFonts w:hint="eastAsia" w:ascii="Times New Roman" w:hAnsi="Times New Roman" w:cs="Times New Roman"/>
                <w:b/>
                <w:bCs/>
                <w:color w:val="000000"/>
                <w:kern w:val="0"/>
                <w:sz w:val="24"/>
                <w:szCs w:val="24"/>
                <w:lang w:eastAsia="zh-CN"/>
              </w:rPr>
              <w:t>）</w:t>
            </w:r>
          </w:p>
        </w:tc>
      </w:tr>
      <w:tr>
        <w:tblPrEx>
          <w:tblCellMar>
            <w:top w:w="15" w:type="dxa"/>
            <w:left w:w="15" w:type="dxa"/>
            <w:bottom w:w="15" w:type="dxa"/>
            <w:right w:w="15" w:type="dxa"/>
          </w:tblCellMar>
        </w:tblPrEx>
        <w:trPr>
          <w:trHeight w:val="300" w:hRule="atLeast"/>
          <w:jc w:val="center"/>
        </w:trPr>
        <w:tc>
          <w:tcPr>
            <w:tcW w:w="3073" w:type="dxa"/>
            <w:tcBorders>
              <w:right w:val="single" w:color="000000" w:sz="4" w:space="0"/>
            </w:tcBorders>
            <w:shd w:val="clear" w:color="auto" w:fill="FFFFFF"/>
            <w:noWrap w:val="0"/>
            <w:vAlign w:val="bottom"/>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粮  食</w:t>
            </w:r>
          </w:p>
        </w:tc>
        <w:tc>
          <w:tcPr>
            <w:tcW w:w="2340" w:type="dxa"/>
            <w:tcBorders>
              <w:left w:val="nil"/>
              <w:right w:val="single" w:color="000000" w:sz="4" w:space="0"/>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1930.30</w:t>
            </w:r>
          </w:p>
        </w:tc>
        <w:tc>
          <w:tcPr>
            <w:tcW w:w="2250" w:type="dxa"/>
            <w:tcBorders>
              <w:left w:val="nil"/>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1.8</w:t>
            </w:r>
          </w:p>
        </w:tc>
      </w:tr>
      <w:tr>
        <w:tblPrEx>
          <w:tblCellMar>
            <w:top w:w="15" w:type="dxa"/>
            <w:left w:w="15" w:type="dxa"/>
            <w:bottom w:w="15" w:type="dxa"/>
            <w:right w:w="15" w:type="dxa"/>
          </w:tblCellMar>
        </w:tblPrEx>
        <w:trPr>
          <w:trHeight w:val="300" w:hRule="atLeast"/>
          <w:jc w:val="center"/>
        </w:trPr>
        <w:tc>
          <w:tcPr>
            <w:tcW w:w="3073" w:type="dxa"/>
            <w:tcBorders>
              <w:right w:val="single" w:color="000000" w:sz="4" w:space="0"/>
            </w:tcBorders>
            <w:shd w:val="clear" w:color="auto" w:fill="FFFFFF"/>
            <w:noWrap w:val="0"/>
            <w:vAlign w:val="bottom"/>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油  料</w:t>
            </w:r>
          </w:p>
        </w:tc>
        <w:tc>
          <w:tcPr>
            <w:tcW w:w="2340" w:type="dxa"/>
            <w:tcBorders>
              <w:left w:val="nil"/>
              <w:right w:val="single" w:color="000000" w:sz="4" w:space="0"/>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63.89</w:t>
            </w:r>
          </w:p>
        </w:tc>
        <w:tc>
          <w:tcPr>
            <w:tcW w:w="2250" w:type="dxa"/>
            <w:tcBorders>
              <w:left w:val="nil"/>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1.3</w:t>
            </w:r>
          </w:p>
        </w:tc>
      </w:tr>
      <w:tr>
        <w:tblPrEx>
          <w:tblCellMar>
            <w:top w:w="15" w:type="dxa"/>
            <w:left w:w="15" w:type="dxa"/>
            <w:bottom w:w="15" w:type="dxa"/>
            <w:right w:w="15" w:type="dxa"/>
          </w:tblCellMar>
        </w:tblPrEx>
        <w:trPr>
          <w:trHeight w:val="300" w:hRule="atLeast"/>
          <w:jc w:val="center"/>
        </w:trPr>
        <w:tc>
          <w:tcPr>
            <w:tcW w:w="3073" w:type="dxa"/>
            <w:tcBorders>
              <w:right w:val="single" w:color="000000" w:sz="4" w:space="0"/>
            </w:tcBorders>
            <w:shd w:val="clear" w:color="auto" w:fill="FFFFFF"/>
            <w:noWrap w:val="0"/>
            <w:vAlign w:val="bottom"/>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甘  蔗</w:t>
            </w:r>
          </w:p>
        </w:tc>
        <w:tc>
          <w:tcPr>
            <w:tcW w:w="2340" w:type="dxa"/>
            <w:tcBorders>
              <w:left w:val="nil"/>
              <w:right w:val="single" w:color="000000" w:sz="4" w:space="0"/>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1583.89</w:t>
            </w:r>
          </w:p>
        </w:tc>
        <w:tc>
          <w:tcPr>
            <w:tcW w:w="2250" w:type="dxa"/>
            <w:tcBorders>
              <w:left w:val="nil"/>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-0.8</w:t>
            </w:r>
          </w:p>
        </w:tc>
      </w:tr>
      <w:tr>
        <w:tblPrEx>
          <w:tblCellMar>
            <w:top w:w="15" w:type="dxa"/>
            <w:left w:w="15" w:type="dxa"/>
            <w:bottom w:w="15" w:type="dxa"/>
            <w:right w:w="15" w:type="dxa"/>
          </w:tblCellMar>
        </w:tblPrEx>
        <w:trPr>
          <w:trHeight w:val="300" w:hRule="atLeast"/>
          <w:jc w:val="center"/>
        </w:trPr>
        <w:tc>
          <w:tcPr>
            <w:tcW w:w="3073" w:type="dxa"/>
            <w:tcBorders>
              <w:right w:val="single" w:color="000000" w:sz="4" w:space="0"/>
            </w:tcBorders>
            <w:shd w:val="clear" w:color="auto" w:fill="FFFFFF"/>
            <w:noWrap w:val="0"/>
            <w:vAlign w:val="bottom"/>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烤  烟</w:t>
            </w:r>
          </w:p>
        </w:tc>
        <w:tc>
          <w:tcPr>
            <w:tcW w:w="2340" w:type="dxa"/>
            <w:tcBorders>
              <w:left w:val="nil"/>
              <w:right w:val="single" w:color="000000" w:sz="4" w:space="0"/>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82.18</w:t>
            </w:r>
          </w:p>
        </w:tc>
        <w:tc>
          <w:tcPr>
            <w:tcW w:w="2250" w:type="dxa"/>
            <w:tcBorders>
              <w:left w:val="nil"/>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0.7</w:t>
            </w:r>
          </w:p>
        </w:tc>
      </w:tr>
      <w:tr>
        <w:tblPrEx>
          <w:tblCellMar>
            <w:top w:w="15" w:type="dxa"/>
            <w:left w:w="15" w:type="dxa"/>
            <w:bottom w:w="15" w:type="dxa"/>
            <w:right w:w="15" w:type="dxa"/>
          </w:tblCellMar>
        </w:tblPrEx>
        <w:trPr>
          <w:trHeight w:val="300" w:hRule="atLeast"/>
          <w:jc w:val="center"/>
        </w:trPr>
        <w:tc>
          <w:tcPr>
            <w:tcW w:w="3073" w:type="dxa"/>
            <w:tcBorders>
              <w:right w:val="single" w:color="000000" w:sz="4" w:space="0"/>
            </w:tcBorders>
            <w:shd w:val="clear" w:color="auto" w:fill="FFFFFF"/>
            <w:noWrap w:val="0"/>
            <w:vAlign w:val="bottom"/>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bottom"/>
              <w:rPr>
                <w:rFonts w:hint="default" w:ascii="Times New Roman" w:hAnsi="Times New Roman" w:eastAsia="宋体" w:cs="Times New Roman"/>
                <w:color w:val="000000"/>
                <w:sz w:val="22"/>
                <w:lang w:eastAsia="zh-CN"/>
              </w:rPr>
            </w:pPr>
            <w:r>
              <w:rPr>
                <w:rFonts w:hint="default" w:ascii="Times New Roman" w:hAnsi="Times New Roman" w:cs="Times New Roman"/>
                <w:color w:val="000000"/>
                <w:kern w:val="0"/>
                <w:sz w:val="22"/>
                <w:lang w:val="en-US" w:eastAsia="zh-CN"/>
              </w:rPr>
              <w:t xml:space="preserve">           </w:t>
            </w:r>
            <w:r>
              <w:rPr>
                <w:rFonts w:hint="default" w:ascii="Times New Roman" w:hAnsi="Times New Roman" w:cs="Times New Roman"/>
                <w:color w:val="000000"/>
                <w:kern w:val="0"/>
                <w:sz w:val="22"/>
              </w:rPr>
              <w:t>蔬  菜</w:t>
            </w:r>
            <w:r>
              <w:rPr>
                <w:rFonts w:hint="default" w:ascii="Times New Roman" w:hAnsi="Times New Roman" w:cs="Times New Roman"/>
                <w:color w:val="000000"/>
                <w:kern w:val="0"/>
                <w:sz w:val="22"/>
                <w:lang w:eastAsia="zh-CN"/>
              </w:rPr>
              <w:t>（</w:t>
            </w:r>
            <w:r>
              <w:rPr>
                <w:rFonts w:hint="default" w:ascii="Times New Roman" w:hAnsi="Times New Roman" w:cs="Times New Roman"/>
                <w:color w:val="000000"/>
                <w:kern w:val="0"/>
                <w:sz w:val="22"/>
                <w:lang w:val="en-US" w:eastAsia="zh-CN"/>
              </w:rPr>
              <w:t>含食用菌</w:t>
            </w:r>
            <w:r>
              <w:rPr>
                <w:rFonts w:hint="default" w:ascii="Times New Roman" w:hAnsi="Times New Roman" w:cs="Times New Roman"/>
                <w:color w:val="000000"/>
                <w:kern w:val="0"/>
                <w:sz w:val="22"/>
                <w:lang w:eastAsia="zh-CN"/>
              </w:rPr>
              <w:t>）</w:t>
            </w:r>
          </w:p>
        </w:tc>
        <w:tc>
          <w:tcPr>
            <w:tcW w:w="2340" w:type="dxa"/>
            <w:tcBorders>
              <w:left w:val="nil"/>
              <w:right w:val="single" w:color="000000" w:sz="4" w:space="0"/>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2748.86</w:t>
            </w:r>
          </w:p>
        </w:tc>
        <w:tc>
          <w:tcPr>
            <w:tcW w:w="2250" w:type="dxa"/>
            <w:tcBorders>
              <w:left w:val="nil"/>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9.6</w:t>
            </w:r>
          </w:p>
        </w:tc>
      </w:tr>
      <w:tr>
        <w:tblPrEx>
          <w:tblCellMar>
            <w:top w:w="15" w:type="dxa"/>
            <w:left w:w="15" w:type="dxa"/>
            <w:bottom w:w="15" w:type="dxa"/>
            <w:right w:w="15" w:type="dxa"/>
          </w:tblCellMar>
        </w:tblPrEx>
        <w:trPr>
          <w:trHeight w:val="300" w:hRule="atLeast"/>
          <w:jc w:val="center"/>
        </w:trPr>
        <w:tc>
          <w:tcPr>
            <w:tcW w:w="3073" w:type="dxa"/>
            <w:tcBorders>
              <w:right w:val="single" w:color="000000" w:sz="4" w:space="0"/>
            </w:tcBorders>
            <w:shd w:val="clear" w:color="auto" w:fill="FFFFFF"/>
            <w:noWrap w:val="0"/>
            <w:vAlign w:val="bottom"/>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w:t>
            </w:r>
            <w:r>
              <w:rPr>
                <w:rFonts w:hint="default" w:ascii="Times New Roman" w:hAnsi="Times New Roman" w:cs="Times New Roman"/>
                <w:color w:val="000000"/>
                <w:kern w:val="0"/>
                <w:sz w:val="22"/>
                <w:lang w:val="en-US" w:eastAsia="zh-CN"/>
              </w:rPr>
              <w:t>鲜切花</w:t>
            </w:r>
            <w:r>
              <w:rPr>
                <w:rFonts w:hint="default" w:ascii="Times New Roman" w:hAnsi="Times New Roman" w:cs="Times New Roman"/>
                <w:color w:val="000000"/>
                <w:kern w:val="0"/>
                <w:sz w:val="22"/>
              </w:rPr>
              <w:t>（亿枝）</w:t>
            </w:r>
          </w:p>
        </w:tc>
        <w:tc>
          <w:tcPr>
            <w:tcW w:w="2340" w:type="dxa"/>
            <w:tcBorders>
              <w:left w:val="nil"/>
              <w:right w:val="single" w:color="000000" w:sz="4" w:space="0"/>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158.33</w:t>
            </w:r>
          </w:p>
        </w:tc>
        <w:tc>
          <w:tcPr>
            <w:tcW w:w="2250" w:type="dxa"/>
            <w:tcBorders>
              <w:left w:val="nil"/>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8.0</w:t>
            </w:r>
          </w:p>
        </w:tc>
      </w:tr>
      <w:tr>
        <w:tblPrEx>
          <w:tblCellMar>
            <w:top w:w="15" w:type="dxa"/>
            <w:left w:w="15" w:type="dxa"/>
            <w:bottom w:w="15" w:type="dxa"/>
            <w:right w:w="15" w:type="dxa"/>
          </w:tblCellMar>
        </w:tblPrEx>
        <w:trPr>
          <w:trHeight w:val="300" w:hRule="atLeast"/>
          <w:jc w:val="center"/>
        </w:trPr>
        <w:tc>
          <w:tcPr>
            <w:tcW w:w="3073" w:type="dxa"/>
            <w:tcBorders>
              <w:right w:val="single" w:color="000000" w:sz="4" w:space="0"/>
            </w:tcBorders>
            <w:shd w:val="clear" w:color="auto" w:fill="FFFFFF"/>
            <w:noWrap w:val="0"/>
            <w:vAlign w:val="bottom"/>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园林水果</w:t>
            </w:r>
          </w:p>
        </w:tc>
        <w:tc>
          <w:tcPr>
            <w:tcW w:w="2340" w:type="dxa"/>
            <w:tcBorders>
              <w:left w:val="nil"/>
              <w:right w:val="single" w:color="000000" w:sz="4" w:space="0"/>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1041.82</w:t>
            </w:r>
          </w:p>
        </w:tc>
        <w:tc>
          <w:tcPr>
            <w:tcW w:w="2250" w:type="dxa"/>
            <w:tcBorders>
              <w:left w:val="nil"/>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18.3</w:t>
            </w:r>
          </w:p>
        </w:tc>
      </w:tr>
      <w:tr>
        <w:tblPrEx>
          <w:tblCellMar>
            <w:top w:w="15" w:type="dxa"/>
            <w:left w:w="15" w:type="dxa"/>
            <w:bottom w:w="15" w:type="dxa"/>
            <w:right w:w="15" w:type="dxa"/>
          </w:tblCellMar>
        </w:tblPrEx>
        <w:trPr>
          <w:trHeight w:val="300" w:hRule="atLeast"/>
          <w:jc w:val="center"/>
        </w:trPr>
        <w:tc>
          <w:tcPr>
            <w:tcW w:w="3073" w:type="dxa"/>
            <w:tcBorders>
              <w:right w:val="single" w:color="000000" w:sz="4" w:space="0"/>
            </w:tcBorders>
            <w:shd w:val="clear" w:color="auto" w:fill="FFFFFF"/>
            <w:noWrap w:val="0"/>
            <w:vAlign w:val="bottom"/>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茶  叶</w:t>
            </w:r>
          </w:p>
        </w:tc>
        <w:tc>
          <w:tcPr>
            <w:tcW w:w="2340" w:type="dxa"/>
            <w:tcBorders>
              <w:left w:val="nil"/>
              <w:right w:val="single" w:color="000000" w:sz="4" w:space="0"/>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50.21</w:t>
            </w:r>
          </w:p>
        </w:tc>
        <w:tc>
          <w:tcPr>
            <w:tcW w:w="2250" w:type="dxa"/>
            <w:tcBorders>
              <w:left w:val="nil"/>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8.4</w:t>
            </w:r>
          </w:p>
        </w:tc>
      </w:tr>
      <w:tr>
        <w:tblPrEx>
          <w:tblCellMar>
            <w:top w:w="15" w:type="dxa"/>
            <w:left w:w="15" w:type="dxa"/>
            <w:bottom w:w="15" w:type="dxa"/>
            <w:right w:w="15" w:type="dxa"/>
          </w:tblCellMar>
        </w:tblPrEx>
        <w:trPr>
          <w:trHeight w:val="300" w:hRule="atLeast"/>
          <w:jc w:val="center"/>
        </w:trPr>
        <w:tc>
          <w:tcPr>
            <w:tcW w:w="3073" w:type="dxa"/>
            <w:tcBorders>
              <w:right w:val="single" w:color="000000" w:sz="4" w:space="0"/>
            </w:tcBorders>
            <w:shd w:val="clear" w:color="auto" w:fill="FFFFFF"/>
            <w:noWrap w:val="0"/>
            <w:vAlign w:val="bottom"/>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橡  胶</w:t>
            </w:r>
          </w:p>
        </w:tc>
        <w:tc>
          <w:tcPr>
            <w:tcW w:w="2340" w:type="dxa"/>
            <w:tcBorders>
              <w:left w:val="nil"/>
              <w:right w:val="single" w:color="000000" w:sz="4" w:space="0"/>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50.71</w:t>
            </w:r>
          </w:p>
        </w:tc>
        <w:tc>
          <w:tcPr>
            <w:tcW w:w="2250" w:type="dxa"/>
            <w:tcBorders>
              <w:left w:val="nil"/>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7.4</w:t>
            </w:r>
          </w:p>
        </w:tc>
      </w:tr>
      <w:tr>
        <w:tblPrEx>
          <w:tblCellMar>
            <w:top w:w="15" w:type="dxa"/>
            <w:left w:w="15" w:type="dxa"/>
            <w:bottom w:w="15" w:type="dxa"/>
            <w:right w:w="15" w:type="dxa"/>
          </w:tblCellMar>
        </w:tblPrEx>
        <w:trPr>
          <w:trHeight w:val="300" w:hRule="atLeast"/>
          <w:jc w:val="center"/>
        </w:trPr>
        <w:tc>
          <w:tcPr>
            <w:tcW w:w="3073" w:type="dxa"/>
            <w:tcBorders>
              <w:right w:val="single" w:color="000000" w:sz="4" w:space="0"/>
            </w:tcBorders>
            <w:shd w:val="clear" w:color="auto" w:fill="FFFFFF"/>
            <w:noWrap w:val="0"/>
            <w:vAlign w:val="bottom"/>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核  桃</w:t>
            </w:r>
          </w:p>
        </w:tc>
        <w:tc>
          <w:tcPr>
            <w:tcW w:w="2340" w:type="dxa"/>
            <w:tcBorders>
              <w:left w:val="nil"/>
              <w:right w:val="single" w:color="000000" w:sz="4" w:space="0"/>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179.24</w:t>
            </w:r>
          </w:p>
        </w:tc>
        <w:tc>
          <w:tcPr>
            <w:tcW w:w="2250" w:type="dxa"/>
            <w:tcBorders>
              <w:left w:val="nil"/>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59.3</w:t>
            </w:r>
          </w:p>
        </w:tc>
      </w:tr>
      <w:tr>
        <w:tblPrEx>
          <w:tblCellMar>
            <w:top w:w="15" w:type="dxa"/>
            <w:left w:w="15" w:type="dxa"/>
            <w:bottom w:w="15" w:type="dxa"/>
            <w:right w:w="15" w:type="dxa"/>
          </w:tblCellMar>
        </w:tblPrEx>
        <w:trPr>
          <w:trHeight w:val="300" w:hRule="atLeast"/>
          <w:jc w:val="center"/>
        </w:trPr>
        <w:tc>
          <w:tcPr>
            <w:tcW w:w="3073" w:type="dxa"/>
            <w:tcBorders>
              <w:right w:val="single" w:color="000000" w:sz="4" w:space="0"/>
            </w:tcBorders>
            <w:shd w:val="clear" w:color="auto" w:fill="FFFFFF"/>
            <w:noWrap w:val="0"/>
            <w:vAlign w:val="bottom"/>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咖  啡</w:t>
            </w:r>
          </w:p>
        </w:tc>
        <w:tc>
          <w:tcPr>
            <w:tcW w:w="2340" w:type="dxa"/>
            <w:tcBorders>
              <w:left w:val="nil"/>
              <w:right w:val="single" w:color="000000" w:sz="4" w:space="0"/>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14.03</w:t>
            </w:r>
          </w:p>
        </w:tc>
        <w:tc>
          <w:tcPr>
            <w:tcW w:w="2250" w:type="dxa"/>
            <w:tcBorders>
              <w:left w:val="nil"/>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3.9</w:t>
            </w:r>
          </w:p>
        </w:tc>
      </w:tr>
      <w:tr>
        <w:tblPrEx>
          <w:tblCellMar>
            <w:top w:w="15" w:type="dxa"/>
            <w:left w:w="15" w:type="dxa"/>
            <w:bottom w:w="15" w:type="dxa"/>
            <w:right w:w="15" w:type="dxa"/>
          </w:tblCellMar>
        </w:tblPrEx>
        <w:trPr>
          <w:trHeight w:val="300" w:hRule="atLeast"/>
          <w:jc w:val="center"/>
        </w:trPr>
        <w:tc>
          <w:tcPr>
            <w:tcW w:w="3073" w:type="dxa"/>
            <w:tcBorders>
              <w:bottom w:val="single" w:color="000000" w:sz="12" w:space="0"/>
              <w:right w:val="single" w:color="000000"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水产品</w:t>
            </w:r>
          </w:p>
        </w:tc>
        <w:tc>
          <w:tcPr>
            <w:tcW w:w="2340" w:type="dxa"/>
            <w:tcBorders>
              <w:left w:val="nil"/>
              <w:bottom w:val="single" w:color="000000" w:sz="12" w:space="0"/>
              <w:right w:val="single" w:color="000000" w:sz="4" w:space="0"/>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color w:val="000000"/>
                <w:sz w:val="22"/>
                <w:lang w:val="en" w:eastAsia="zh-CN"/>
              </w:rPr>
            </w:pPr>
            <w:r>
              <w:rPr>
                <w:rFonts w:hint="default" w:ascii="Times New Roman" w:hAnsi="Times New Roman" w:cs="Times New Roman"/>
                <w:color w:val="000000"/>
                <w:sz w:val="22"/>
                <w:lang w:val="en" w:eastAsia="zh-CN"/>
              </w:rPr>
              <w:t>65.77</w:t>
            </w:r>
          </w:p>
        </w:tc>
        <w:tc>
          <w:tcPr>
            <w:tcW w:w="2250" w:type="dxa"/>
            <w:tcBorders>
              <w:left w:val="nil"/>
              <w:bottom w:val="single" w:color="000000" w:sz="12" w:space="0"/>
            </w:tcBorders>
            <w:shd w:val="clear" w:color="auto" w:fill="FFFFFF"/>
            <w:noWrap w:val="0"/>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color w:val="000000"/>
                <w:sz w:val="22"/>
                <w:lang w:val="en" w:eastAsia="zh-CN"/>
              </w:rPr>
            </w:pPr>
            <w:r>
              <w:rPr>
                <w:rFonts w:hint="default" w:ascii="Times New Roman" w:hAnsi="Times New Roman" w:cs="Times New Roman"/>
                <w:color w:val="000000"/>
                <w:sz w:val="22"/>
                <w:lang w:val="en" w:eastAsia="zh-CN"/>
              </w:rPr>
              <w:t>2.1</w:t>
            </w:r>
          </w:p>
        </w:tc>
      </w:tr>
    </w:tbl>
    <w:p>
      <w:pPr>
        <w:keepNext w:val="0"/>
        <w:keepLines w:val="0"/>
        <w:pageBreakBefore w:val="0"/>
        <w:kinsoku/>
        <w:wordWrap/>
        <w:overflowPunct w:val="0"/>
        <w:topLinePunct w:val="0"/>
        <w:autoSpaceDE/>
        <w:autoSpaceDN/>
        <w:bidi w:val="0"/>
        <w:adjustRightInd/>
        <w:spacing w:before="156" w:beforeLines="50" w:after="156" w:afterLines="50" w:line="56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三、工业和建筑业</w:t>
      </w:r>
    </w:p>
    <w:p>
      <w:pPr>
        <w:keepNext w:val="0"/>
        <w:keepLines w:val="0"/>
        <w:pageBreakBefore w:val="0"/>
        <w:widowControl w:val="0"/>
        <w:tabs>
          <w:tab w:val="left" w:pos="630"/>
        </w:tabs>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方正仿宋简体" w:cs="Times New Roman"/>
          <w:color w:val="000000"/>
          <w:sz w:val="32"/>
          <w:szCs w:val="32"/>
        </w:rPr>
        <w:t>全年全部工业增加值6555.76亿元，比上年增长7.9%。</w:t>
      </w:r>
      <w:r>
        <w:rPr>
          <w:rFonts w:hint="default" w:ascii="Times New Roman" w:hAnsi="Times New Roman" w:eastAsia="仿宋_GB2312" w:cs="Times New Roman"/>
          <w:color w:val="000000"/>
          <w:sz w:val="32"/>
          <w:szCs w:val="32"/>
        </w:rPr>
        <w:t>规模以上工业</w:t>
      </w:r>
      <w:r>
        <w:rPr>
          <w:rStyle w:val="15"/>
          <w:rFonts w:hint="default" w:ascii="Times New Roman" w:hAnsi="Times New Roman" w:eastAsia="仿宋_GB2312" w:cs="Times New Roman"/>
          <w:color w:val="000000"/>
          <w:sz w:val="32"/>
          <w:szCs w:val="32"/>
        </w:rPr>
        <w:t>[</w:t>
      </w:r>
      <w:r>
        <w:rPr>
          <w:rStyle w:val="15"/>
          <w:rFonts w:hint="default" w:ascii="Times New Roman" w:hAnsi="Times New Roman" w:eastAsia="仿宋_GB2312" w:cs="Times New Roman"/>
          <w:color w:val="000000"/>
          <w:sz w:val="32"/>
          <w:szCs w:val="32"/>
        </w:rPr>
        <w:endnoteReference w:id="8"/>
      </w:r>
      <w:r>
        <w:rPr>
          <w:rStyle w:val="15"/>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增加值增长</w:t>
      </w:r>
      <w:r>
        <w:rPr>
          <w:rFonts w:hint="default" w:ascii="Times New Roman" w:hAnsi="Times New Roman" w:eastAsia="仿宋_GB2312" w:cs="Times New Roman"/>
          <w:color w:val="000000"/>
          <w:sz w:val="32"/>
          <w:szCs w:val="32"/>
          <w:lang w:val="en-US" w:eastAsia="zh-CN"/>
        </w:rPr>
        <w:t>8.8</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，其中</w:t>
      </w:r>
      <w:r>
        <w:rPr>
          <w:rFonts w:hint="eastAsia" w:ascii="Times New Roman" w:hAnsi="Times New Roman" w:eastAsia="方正仿宋简体" w:cs="Times New Roman"/>
          <w:color w:val="000000"/>
          <w:sz w:val="32"/>
          <w:szCs w:val="32"/>
          <w:lang w:eastAsia="zh-CN"/>
        </w:rPr>
        <w:t>高技术制造业增长</w:t>
      </w:r>
      <w:r>
        <w:rPr>
          <w:rFonts w:hint="eastAsia" w:ascii="Times New Roman" w:hAnsi="Times New Roman" w:eastAsia="方正仿宋简体" w:cs="Times New Roman"/>
          <w:color w:val="000000"/>
          <w:sz w:val="32"/>
          <w:szCs w:val="32"/>
          <w:lang w:val="en-US" w:eastAsia="zh-CN"/>
        </w:rPr>
        <w:t>34.9%。</w:t>
      </w:r>
      <w:r>
        <w:rPr>
          <w:rFonts w:hint="default" w:ascii="Times New Roman" w:hAnsi="Times New Roman" w:eastAsia="方正仿宋简体" w:cs="Times New Roman"/>
          <w:color w:val="000000"/>
          <w:sz w:val="32"/>
          <w:szCs w:val="32"/>
        </w:rPr>
        <w:t>分经济类型看，国有企业增长</w:t>
      </w:r>
      <w:r>
        <w:rPr>
          <w:rFonts w:hint="default" w:ascii="Times New Roman" w:hAnsi="Times New Roman" w:eastAsia="方正仿宋简体" w:cs="Times New Roman"/>
          <w:color w:val="000000"/>
          <w:sz w:val="32"/>
          <w:szCs w:val="32"/>
          <w:lang w:val="en-US" w:eastAsia="zh-CN"/>
        </w:rPr>
        <w:t>8.3</w:t>
      </w:r>
      <w:r>
        <w:rPr>
          <w:rFonts w:hint="default" w:ascii="Times New Roman" w:hAnsi="Times New Roman" w:eastAsia="方正仿宋简体" w:cs="Times New Roman"/>
          <w:color w:val="000000"/>
          <w:sz w:val="32"/>
          <w:szCs w:val="32"/>
        </w:rPr>
        <w:t>%，集体企业</w:t>
      </w:r>
      <w:r>
        <w:rPr>
          <w:rFonts w:hint="default" w:ascii="Times New Roman" w:hAnsi="Times New Roman" w:eastAsia="方正仿宋简体" w:cs="Times New Roman"/>
          <w:color w:val="000000"/>
          <w:sz w:val="32"/>
          <w:szCs w:val="32"/>
          <w:lang w:eastAsia="zh-CN"/>
        </w:rPr>
        <w:t>增长</w:t>
      </w:r>
      <w:r>
        <w:rPr>
          <w:rFonts w:hint="default" w:ascii="Times New Roman" w:hAnsi="Times New Roman" w:eastAsia="方正仿宋简体" w:cs="Times New Roman"/>
          <w:color w:val="000000"/>
          <w:sz w:val="32"/>
          <w:szCs w:val="32"/>
          <w:lang w:val="en-US" w:eastAsia="zh-CN"/>
        </w:rPr>
        <w:t>20.2</w:t>
      </w:r>
      <w:r>
        <w:rPr>
          <w:rFonts w:hint="default" w:ascii="Times New Roman" w:hAnsi="Times New Roman" w:eastAsia="方正仿宋简体" w:cs="Times New Roman"/>
          <w:color w:val="000000"/>
          <w:sz w:val="32"/>
          <w:szCs w:val="32"/>
        </w:rPr>
        <w:t>%，股份制企业增长</w:t>
      </w:r>
      <w:r>
        <w:rPr>
          <w:rFonts w:hint="default" w:ascii="Times New Roman" w:hAnsi="Times New Roman" w:eastAsia="方正仿宋简体" w:cs="Times New Roman"/>
          <w:color w:val="000000"/>
          <w:sz w:val="32"/>
          <w:szCs w:val="32"/>
          <w:lang w:val="en-US" w:eastAsia="zh-CN"/>
        </w:rPr>
        <w:t>8.8</w:t>
      </w:r>
      <w:r>
        <w:rPr>
          <w:rFonts w:hint="default" w:ascii="Times New Roman" w:hAnsi="Times New Roman" w:eastAsia="方正仿宋简体" w:cs="Times New Roman"/>
          <w:color w:val="000000"/>
          <w:sz w:val="32"/>
          <w:szCs w:val="32"/>
        </w:rPr>
        <w:t>%，私营企业增长</w:t>
      </w:r>
      <w:r>
        <w:rPr>
          <w:rFonts w:hint="default" w:ascii="Times New Roman" w:hAnsi="Times New Roman" w:eastAsia="方正仿宋简体" w:cs="Times New Roman"/>
          <w:color w:val="000000"/>
          <w:sz w:val="32"/>
          <w:szCs w:val="32"/>
          <w:lang w:val="en-US" w:eastAsia="zh-CN"/>
        </w:rPr>
        <w:t>12.8</w:t>
      </w:r>
      <w:r>
        <w:rPr>
          <w:rFonts w:hint="default"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分门类看，采矿业增长</w:t>
      </w:r>
      <w:r>
        <w:rPr>
          <w:rFonts w:hint="default" w:ascii="Times New Roman" w:hAnsi="Times New Roman" w:eastAsia="方正仿宋简体" w:cs="Times New Roman"/>
          <w:color w:val="000000"/>
          <w:sz w:val="32"/>
          <w:szCs w:val="32"/>
          <w:lang w:val="en-US" w:eastAsia="zh-CN"/>
        </w:rPr>
        <w:t>10.7</w:t>
      </w:r>
      <w:r>
        <w:rPr>
          <w:rFonts w:hint="default" w:ascii="Times New Roman" w:hAnsi="Times New Roman" w:eastAsia="方正仿宋简体" w:cs="Times New Roman"/>
          <w:color w:val="000000"/>
          <w:sz w:val="32"/>
          <w:szCs w:val="32"/>
        </w:rPr>
        <w:t>%，制造业增长</w:t>
      </w:r>
      <w:r>
        <w:rPr>
          <w:rFonts w:hint="default" w:ascii="Times New Roman" w:hAnsi="Times New Roman" w:eastAsia="方正仿宋简体" w:cs="Times New Roman"/>
          <w:color w:val="000000"/>
          <w:sz w:val="32"/>
          <w:szCs w:val="32"/>
          <w:lang w:val="en-US" w:eastAsia="zh-CN"/>
        </w:rPr>
        <w:t>8.2</w:t>
      </w:r>
      <w:r>
        <w:rPr>
          <w:rFonts w:hint="default" w:ascii="Times New Roman" w:hAnsi="Times New Roman" w:eastAsia="方正仿宋简体" w:cs="Times New Roman"/>
          <w:color w:val="000000"/>
          <w:sz w:val="32"/>
          <w:szCs w:val="32"/>
        </w:rPr>
        <w:t>%，电力、热力、燃气及水生产和供应业增长</w:t>
      </w:r>
      <w:r>
        <w:rPr>
          <w:rFonts w:hint="default" w:ascii="Times New Roman" w:hAnsi="Times New Roman" w:eastAsia="方正仿宋简体" w:cs="Times New Roman"/>
          <w:color w:val="000000"/>
          <w:sz w:val="32"/>
          <w:szCs w:val="32"/>
          <w:lang w:val="en-US" w:eastAsia="zh-CN"/>
        </w:rPr>
        <w:t>11.1</w:t>
      </w:r>
      <w:r>
        <w:rPr>
          <w:rFonts w:hint="default" w:ascii="Times New Roman" w:hAnsi="Times New Roman" w:eastAsia="方正仿宋简体" w:cs="Times New Roman"/>
          <w:color w:val="000000"/>
          <w:sz w:val="32"/>
          <w:szCs w:val="32"/>
        </w:rPr>
        <w:t>%。</w:t>
      </w:r>
    </w:p>
    <w:p>
      <w:pPr>
        <w:keepNext w:val="0"/>
        <w:keepLines w:val="0"/>
        <w:pageBreakBefore w:val="0"/>
        <w:kinsoku/>
        <w:wordWrap/>
        <w:overflowPunct w:val="0"/>
        <w:topLinePunct w:val="0"/>
        <w:autoSpaceDE/>
        <w:autoSpaceDN/>
        <w:bidi w:val="0"/>
        <w:adjustRightInd/>
        <w:spacing w:line="560" w:lineRule="exact"/>
        <w:ind w:firstLine="640" w:firstLineChars="200"/>
        <w:rPr>
          <w:rFonts w:hint="eastAsia" w:ascii="Times New Roman" w:hAnsi="Times New Roman" w:eastAsia="方正仿宋简体" w:cs="Times New Roman"/>
          <w:lang w:eastAsia="zh-CN"/>
        </w:rPr>
      </w:pPr>
      <w:r>
        <w:rPr>
          <w:rFonts w:hint="default" w:ascii="Times New Roman" w:hAnsi="Times New Roman" w:eastAsia="方正仿宋简体" w:cs="Times New Roman"/>
          <w:bCs/>
          <w:color w:val="000000"/>
          <w:sz w:val="32"/>
          <w:szCs w:val="32"/>
        </w:rPr>
        <w:t>分行业看，</w:t>
      </w:r>
      <w:r>
        <w:rPr>
          <w:rFonts w:hint="default" w:ascii="Times New Roman" w:hAnsi="Times New Roman" w:eastAsia="方正仿宋简体" w:cs="Times New Roman"/>
          <w:color w:val="000000"/>
          <w:sz w:val="32"/>
          <w:szCs w:val="32"/>
        </w:rPr>
        <w:t>计算机、通信和其他电子设备制造业</w:t>
      </w:r>
      <w:r>
        <w:rPr>
          <w:rFonts w:hint="eastAsia" w:ascii="Times New Roman" w:hAnsi="Times New Roman" w:eastAsia="方正仿宋简体" w:cs="Times New Roman"/>
          <w:color w:val="000000"/>
          <w:sz w:val="32"/>
          <w:szCs w:val="32"/>
          <w:lang w:eastAsia="zh-CN"/>
        </w:rPr>
        <w:t>比上年</w:t>
      </w:r>
      <w:r>
        <w:rPr>
          <w:rFonts w:hint="default" w:ascii="Times New Roman" w:hAnsi="Times New Roman" w:eastAsia="方正仿宋简体" w:cs="Times New Roman"/>
          <w:color w:val="000000"/>
          <w:sz w:val="32"/>
          <w:szCs w:val="32"/>
        </w:rPr>
        <w:t>增长</w:t>
      </w:r>
      <w:r>
        <w:rPr>
          <w:rFonts w:hint="default" w:ascii="Times New Roman" w:hAnsi="Times New Roman" w:eastAsia="方正仿宋简体" w:cs="Times New Roman"/>
          <w:color w:val="000000"/>
          <w:sz w:val="32"/>
          <w:szCs w:val="32"/>
          <w:lang w:val="en-US" w:eastAsia="zh-CN"/>
        </w:rPr>
        <w:t>45.3</w:t>
      </w:r>
      <w:r>
        <w:rPr>
          <w:rFonts w:hint="default" w:ascii="Times New Roman" w:hAnsi="Times New Roman" w:eastAsia="方正仿宋简体" w:cs="Times New Roman"/>
          <w:color w:val="000000"/>
          <w:sz w:val="32"/>
          <w:szCs w:val="32"/>
        </w:rPr>
        <w:t>%，电力</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热力生产和供应业增长</w:t>
      </w:r>
      <w:r>
        <w:rPr>
          <w:rFonts w:hint="default" w:ascii="Times New Roman" w:hAnsi="Times New Roman" w:eastAsia="方正仿宋简体" w:cs="Times New Roman"/>
          <w:color w:val="000000"/>
          <w:sz w:val="32"/>
          <w:szCs w:val="32"/>
          <w:lang w:val="en-US" w:eastAsia="zh-CN"/>
        </w:rPr>
        <w:t>12.1</w:t>
      </w:r>
      <w:r>
        <w:rPr>
          <w:rFonts w:hint="default"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有色金属冶炼</w:t>
      </w:r>
      <w:r>
        <w:rPr>
          <w:rFonts w:hint="default" w:ascii="Times New Roman" w:hAnsi="Times New Roman" w:eastAsia="方正仿宋简体" w:cs="Times New Roman"/>
          <w:color w:val="000000"/>
          <w:sz w:val="32"/>
          <w:szCs w:val="32"/>
          <w:lang w:eastAsia="zh-CN"/>
        </w:rPr>
        <w:t>和</w:t>
      </w:r>
      <w:r>
        <w:rPr>
          <w:rFonts w:hint="default" w:ascii="Times New Roman" w:hAnsi="Times New Roman" w:eastAsia="方正仿宋简体" w:cs="Times New Roman"/>
          <w:color w:val="000000"/>
          <w:sz w:val="32"/>
          <w:szCs w:val="32"/>
        </w:rPr>
        <w:t>压延加工业增长</w:t>
      </w:r>
      <w:r>
        <w:rPr>
          <w:rFonts w:hint="default" w:ascii="Times New Roman" w:hAnsi="Times New Roman" w:eastAsia="方正仿宋简体" w:cs="Times New Roman"/>
          <w:color w:val="000000"/>
          <w:sz w:val="32"/>
          <w:szCs w:val="32"/>
          <w:lang w:val="en-US" w:eastAsia="zh-CN"/>
        </w:rPr>
        <w:t>10.6</w:t>
      </w:r>
      <w:r>
        <w:rPr>
          <w:rFonts w:hint="default" w:ascii="Times New Roman" w:hAnsi="Times New Roman" w:eastAsia="方正仿宋简体" w:cs="Times New Roman"/>
          <w:color w:val="000000"/>
          <w:sz w:val="32"/>
          <w:szCs w:val="32"/>
        </w:rPr>
        <w:t>%，化学原料</w:t>
      </w:r>
      <w:r>
        <w:rPr>
          <w:rFonts w:hint="default" w:ascii="Times New Roman" w:hAnsi="Times New Roman" w:eastAsia="方正仿宋简体" w:cs="Times New Roman"/>
          <w:color w:val="000000"/>
          <w:sz w:val="32"/>
          <w:szCs w:val="32"/>
          <w:lang w:eastAsia="zh-CN"/>
        </w:rPr>
        <w:t>和</w:t>
      </w:r>
      <w:r>
        <w:rPr>
          <w:rFonts w:hint="default" w:ascii="Times New Roman" w:hAnsi="Times New Roman" w:eastAsia="方正仿宋简体" w:cs="Times New Roman"/>
          <w:color w:val="000000"/>
          <w:sz w:val="32"/>
          <w:szCs w:val="32"/>
        </w:rPr>
        <w:t>化学制品制造业</w:t>
      </w:r>
      <w:r>
        <w:rPr>
          <w:rFonts w:hint="default" w:ascii="Times New Roman" w:hAnsi="Times New Roman" w:eastAsia="方正仿宋简体" w:cs="Times New Roman"/>
          <w:color w:val="000000"/>
          <w:sz w:val="32"/>
          <w:szCs w:val="32"/>
          <w:lang w:eastAsia="zh-CN"/>
        </w:rPr>
        <w:t>增长</w:t>
      </w:r>
      <w:r>
        <w:rPr>
          <w:rFonts w:hint="default" w:ascii="Times New Roman" w:hAnsi="Times New Roman" w:eastAsia="方正仿宋简体" w:cs="Times New Roman"/>
          <w:color w:val="000000"/>
          <w:sz w:val="32"/>
          <w:szCs w:val="32"/>
          <w:lang w:val="en-US" w:eastAsia="zh-CN"/>
        </w:rPr>
        <w:t>7.4</w:t>
      </w:r>
      <w:r>
        <w:rPr>
          <w:rFonts w:hint="default"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黑色金属冶炼</w:t>
      </w:r>
      <w:r>
        <w:rPr>
          <w:rFonts w:hint="default" w:ascii="Times New Roman" w:hAnsi="Times New Roman" w:eastAsia="方正仿宋简体" w:cs="Times New Roman"/>
          <w:color w:val="000000"/>
          <w:sz w:val="32"/>
          <w:szCs w:val="32"/>
          <w:lang w:eastAsia="zh-CN"/>
        </w:rPr>
        <w:t>和</w:t>
      </w:r>
      <w:r>
        <w:rPr>
          <w:rFonts w:hint="default" w:ascii="Times New Roman" w:hAnsi="Times New Roman" w:eastAsia="方正仿宋简体" w:cs="Times New Roman"/>
          <w:color w:val="000000"/>
          <w:sz w:val="32"/>
          <w:szCs w:val="32"/>
        </w:rPr>
        <w:t>压延加工业增长</w:t>
      </w:r>
      <w:r>
        <w:rPr>
          <w:rFonts w:hint="default" w:ascii="Times New Roman" w:hAnsi="Times New Roman" w:eastAsia="方正仿宋简体" w:cs="Times New Roman"/>
          <w:color w:val="000000"/>
          <w:sz w:val="32"/>
          <w:szCs w:val="32"/>
          <w:lang w:val="en-US" w:eastAsia="zh-CN"/>
        </w:rPr>
        <w:t>6.3</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bCs/>
          <w:color w:val="000000"/>
          <w:sz w:val="32"/>
          <w:szCs w:val="32"/>
        </w:rPr>
        <w:t>烟草制品业</w:t>
      </w:r>
      <w:r>
        <w:rPr>
          <w:rFonts w:hint="default" w:ascii="Times New Roman" w:hAnsi="Times New Roman" w:eastAsia="方正仿宋简体" w:cs="Times New Roman"/>
          <w:color w:val="000000"/>
          <w:sz w:val="32"/>
          <w:szCs w:val="32"/>
        </w:rPr>
        <w:t>增长</w:t>
      </w:r>
      <w:r>
        <w:rPr>
          <w:rFonts w:hint="default" w:ascii="Times New Roman" w:hAnsi="Times New Roman" w:eastAsia="方正仿宋简体" w:cs="Times New Roman"/>
          <w:color w:val="000000"/>
          <w:sz w:val="32"/>
          <w:szCs w:val="32"/>
          <w:lang w:val="en-US" w:eastAsia="zh-CN"/>
        </w:rPr>
        <w:t>4.3</w:t>
      </w:r>
      <w:r>
        <w:rPr>
          <w:rFonts w:hint="default"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lang w:eastAsia="zh-CN"/>
        </w:rPr>
        <w:t>。</w:t>
      </w:r>
    </w:p>
    <w:p>
      <w:pPr>
        <w:keepNext w:val="0"/>
        <w:keepLines w:val="0"/>
        <w:pageBreakBefore w:val="0"/>
        <w:kinsoku/>
        <w:wordWrap/>
        <w:overflowPunct w:val="0"/>
        <w:topLinePunct w:val="0"/>
        <w:autoSpaceDE/>
        <w:autoSpaceDN/>
        <w:bidi w:val="0"/>
        <w:adjustRightInd/>
        <w:spacing w:after="156" w:afterLines="50" w:line="560" w:lineRule="exact"/>
        <w:jc w:val="center"/>
        <w:rPr>
          <w:rFonts w:hint="default" w:ascii="Times New Roman" w:hAnsi="Times New Roman" w:eastAsia="方正黑体简体" w:cs="Times New Roman"/>
          <w:bCs/>
          <w:kern w:val="0"/>
          <w:sz w:val="28"/>
          <w:szCs w:val="28"/>
        </w:rPr>
      </w:pPr>
    </w:p>
    <w:p>
      <w:pPr>
        <w:keepNext w:val="0"/>
        <w:keepLines w:val="0"/>
        <w:pageBreakBefore w:val="0"/>
        <w:kinsoku/>
        <w:wordWrap/>
        <w:overflowPunct w:val="0"/>
        <w:topLinePunct w:val="0"/>
        <w:autoSpaceDE/>
        <w:autoSpaceDN/>
        <w:bidi w:val="0"/>
        <w:adjustRightInd/>
        <w:spacing w:after="156" w:afterLines="50" w:line="560" w:lineRule="exact"/>
        <w:jc w:val="center"/>
        <w:rPr>
          <w:rFonts w:hint="default" w:ascii="Times New Roman" w:hAnsi="Times New Roman" w:eastAsia="方正黑体简体" w:cs="Times New Roman"/>
          <w:bCs/>
          <w:kern w:val="0"/>
          <w:sz w:val="28"/>
          <w:szCs w:val="28"/>
        </w:rPr>
      </w:pPr>
      <w:r>
        <w:rPr>
          <w:rFonts w:hint="default" w:ascii="Times New Roman" w:hAnsi="Times New Roman" w:eastAsia="方正黑体简体" w:cs="Times New Roman"/>
          <w:bCs/>
          <w:kern w:val="0"/>
          <w:sz w:val="28"/>
          <w:szCs w:val="28"/>
        </w:rPr>
        <w:t>表3  202</w:t>
      </w:r>
      <w:r>
        <w:rPr>
          <w:rFonts w:hint="default" w:ascii="Times New Roman" w:hAnsi="Times New Roman" w:eastAsia="方正黑体简体" w:cs="Times New Roman"/>
          <w:bCs/>
          <w:kern w:val="0"/>
          <w:sz w:val="28"/>
          <w:szCs w:val="28"/>
          <w:lang w:val="en-US" w:eastAsia="zh-CN"/>
        </w:rPr>
        <w:t>1</w:t>
      </w:r>
      <w:r>
        <w:rPr>
          <w:rFonts w:hint="default" w:ascii="Times New Roman" w:hAnsi="Times New Roman" w:eastAsia="方正黑体简体" w:cs="Times New Roman"/>
          <w:bCs/>
          <w:kern w:val="0"/>
          <w:sz w:val="28"/>
          <w:szCs w:val="28"/>
        </w:rPr>
        <w:t>年云南规模以上工业主要产品产量及增长速度</w:t>
      </w:r>
    </w:p>
    <w:tbl>
      <w:tblPr>
        <w:tblStyle w:val="13"/>
        <w:tblW w:w="8692" w:type="dxa"/>
        <w:jc w:val="center"/>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Layout w:type="fixed"/>
        <w:tblCellMar>
          <w:top w:w="0" w:type="dxa"/>
          <w:left w:w="74" w:type="dxa"/>
          <w:bottom w:w="0" w:type="dxa"/>
          <w:right w:w="482" w:type="dxa"/>
        </w:tblCellMar>
      </w:tblPr>
      <w:tblGrid>
        <w:gridCol w:w="2460"/>
        <w:gridCol w:w="1645"/>
        <w:gridCol w:w="2268"/>
        <w:gridCol w:w="2319"/>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600" w:hRule="atLeast"/>
          <w:jc w:val="center"/>
        </w:trPr>
        <w:tc>
          <w:tcPr>
            <w:tcW w:w="2460" w:type="dxa"/>
            <w:tcBorders>
              <w:bottom w:val="single" w:color="000000" w:sz="8" w:space="0"/>
              <w:tl2br w:val="nil"/>
              <w:tr2bl w:val="nil"/>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产 品 名 称</w:t>
            </w:r>
          </w:p>
        </w:tc>
        <w:tc>
          <w:tcPr>
            <w:tcW w:w="1645" w:type="dxa"/>
            <w:tcBorders>
              <w:bottom w:val="single" w:color="000000" w:sz="8" w:space="0"/>
              <w:tl2br w:val="nil"/>
              <w:tr2bl w:val="nil"/>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单  位</w:t>
            </w:r>
          </w:p>
        </w:tc>
        <w:tc>
          <w:tcPr>
            <w:tcW w:w="2268" w:type="dxa"/>
            <w:tcBorders>
              <w:bottom w:val="single" w:color="000000" w:sz="8" w:space="0"/>
              <w:tl2br w:val="nil"/>
              <w:tr2bl w:val="nil"/>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产  量</w:t>
            </w:r>
          </w:p>
        </w:tc>
        <w:tc>
          <w:tcPr>
            <w:tcW w:w="2319" w:type="dxa"/>
            <w:tcBorders>
              <w:bottom w:val="single" w:color="000000" w:sz="8" w:space="0"/>
              <w:tl2br w:val="nil"/>
              <w:tr2bl w:val="nil"/>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比上年增长（%）</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435" w:hRule="atLeast"/>
          <w:jc w:val="center"/>
        </w:trPr>
        <w:tc>
          <w:tcPr>
            <w:tcW w:w="2460" w:type="dxa"/>
            <w:tcBorders>
              <w:top w:val="single" w:color="000000" w:sz="8" w:space="0"/>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b/>
                <w:bCs/>
                <w:color w:val="000000"/>
                <w:kern w:val="0"/>
                <w:sz w:val="22"/>
              </w:rPr>
            </w:pPr>
            <w:r>
              <w:rPr>
                <w:rFonts w:hint="default" w:ascii="Times New Roman" w:hAnsi="Times New Roman" w:cs="Times New Roman"/>
                <w:color w:val="000000"/>
                <w:kern w:val="0"/>
                <w:sz w:val="22"/>
              </w:rPr>
              <w:t>发电量</w:t>
            </w:r>
          </w:p>
        </w:tc>
        <w:tc>
          <w:tcPr>
            <w:tcW w:w="1645" w:type="dxa"/>
            <w:tcBorders>
              <w:top w:val="single" w:color="000000" w:sz="8" w:space="0"/>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b/>
                <w:bCs/>
                <w:color w:val="000000"/>
                <w:kern w:val="0"/>
                <w:sz w:val="22"/>
              </w:rPr>
            </w:pPr>
            <w:r>
              <w:rPr>
                <w:rFonts w:hint="default" w:ascii="Times New Roman" w:hAnsi="Times New Roman" w:cs="Times New Roman"/>
                <w:color w:val="000000"/>
                <w:kern w:val="0"/>
                <w:sz w:val="22"/>
              </w:rPr>
              <w:t>亿千瓦小时</w:t>
            </w:r>
          </w:p>
        </w:tc>
        <w:tc>
          <w:tcPr>
            <w:tcW w:w="2268" w:type="dxa"/>
            <w:tcBorders>
              <w:top w:val="single" w:color="000000" w:sz="8" w:space="0"/>
              <w:bottom w:val="nil"/>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kern w:val="0"/>
                <w:sz w:val="22"/>
              </w:rPr>
            </w:pPr>
            <w:r>
              <w:rPr>
                <w:rFonts w:hint="eastAsia" w:ascii="Times New Roman" w:hAnsi="Times New Roman" w:cs="Times New Roman"/>
                <w:color w:val="000000"/>
                <w:sz w:val="22"/>
                <w:lang w:val="en-US" w:eastAsia="zh-CN"/>
              </w:rPr>
              <w:t xml:space="preserve"> </w:t>
            </w:r>
            <w:r>
              <w:rPr>
                <w:rFonts w:hint="default" w:ascii="Times New Roman" w:hAnsi="Times New Roman" w:cs="Times New Roman"/>
                <w:color w:val="000000"/>
                <w:sz w:val="22"/>
              </w:rPr>
              <w:t>3434.25</w:t>
            </w:r>
          </w:p>
        </w:tc>
        <w:tc>
          <w:tcPr>
            <w:tcW w:w="2319" w:type="dxa"/>
            <w:tcBorders>
              <w:top w:val="single" w:color="000000" w:sz="8" w:space="0"/>
              <w:bottom w:val="nil"/>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firstLine="440" w:firstLineChars="200"/>
              <w:jc w:val="both"/>
              <w:textAlignment w:val="center"/>
              <w:rPr>
                <w:rFonts w:hint="default" w:ascii="Times New Roman" w:hAnsi="Times New Roman" w:cs="Times New Roman"/>
                <w:b/>
                <w:bCs/>
                <w:color w:val="000000"/>
                <w:kern w:val="0"/>
                <w:sz w:val="22"/>
              </w:rPr>
            </w:pPr>
            <w:r>
              <w:rPr>
                <w:rFonts w:hint="default" w:ascii="Times New Roman" w:hAnsi="Times New Roman" w:cs="Times New Roman"/>
                <w:color w:val="000000"/>
                <w:sz w:val="22"/>
              </w:rPr>
              <w:t>1.1</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90" w:hRule="atLeast"/>
          <w:jc w:val="center"/>
        </w:trPr>
        <w:tc>
          <w:tcPr>
            <w:tcW w:w="2460"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b/>
                <w:bCs/>
                <w:color w:val="000000"/>
                <w:kern w:val="0"/>
                <w:sz w:val="22"/>
              </w:rPr>
            </w:pPr>
            <w:r>
              <w:rPr>
                <w:rFonts w:hint="default" w:ascii="Times New Roman" w:hAnsi="Times New Roman" w:cs="Times New Roman"/>
                <w:color w:val="000000"/>
                <w:kern w:val="0"/>
                <w:sz w:val="22"/>
              </w:rPr>
              <w:t xml:space="preserve">  其中：水电</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b/>
                <w:bCs/>
                <w:color w:val="000000"/>
                <w:kern w:val="0"/>
                <w:sz w:val="22"/>
              </w:rPr>
            </w:pPr>
            <w:r>
              <w:rPr>
                <w:rFonts w:hint="default" w:ascii="Times New Roman" w:hAnsi="Times New Roman" w:cs="Times New Roman"/>
                <w:color w:val="000000"/>
                <w:kern w:val="0"/>
                <w:sz w:val="22"/>
              </w:rPr>
              <w:t>亿千瓦小时</w:t>
            </w:r>
          </w:p>
        </w:tc>
        <w:tc>
          <w:tcPr>
            <w:tcW w:w="2268" w:type="dxa"/>
            <w:tcBorders>
              <w:top w:val="nil"/>
              <w:bottom w:val="nil"/>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kern w:val="0"/>
                <w:sz w:val="22"/>
              </w:rPr>
            </w:pPr>
            <w:r>
              <w:rPr>
                <w:rFonts w:hint="eastAsia" w:ascii="Times New Roman" w:hAnsi="Times New Roman" w:cs="Times New Roman"/>
                <w:lang w:val="en-US" w:eastAsia="zh-CN"/>
              </w:rPr>
              <w:t xml:space="preserve"> </w:t>
            </w:r>
            <w:r>
              <w:rPr>
                <w:rFonts w:hint="default" w:ascii="Times New Roman" w:hAnsi="Times New Roman" w:cs="Times New Roman"/>
              </w:rPr>
              <w:t>2716.27</w:t>
            </w:r>
          </w:p>
        </w:tc>
        <w:tc>
          <w:tcPr>
            <w:tcW w:w="2319" w:type="dxa"/>
            <w:tcBorders>
              <w:top w:val="nil"/>
              <w:bottom w:val="nil"/>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firstLine="420" w:firstLineChars="200"/>
              <w:jc w:val="both"/>
              <w:textAlignment w:val="center"/>
              <w:rPr>
                <w:rFonts w:hint="default" w:ascii="Times New Roman" w:hAnsi="Times New Roman" w:cs="Times New Roman"/>
                <w:b/>
                <w:bCs/>
                <w:color w:val="000000"/>
                <w:kern w:val="0"/>
                <w:sz w:val="22"/>
              </w:rPr>
            </w:pPr>
            <w:r>
              <w:rPr>
                <w:rFonts w:hint="default" w:ascii="Times New Roman" w:hAnsi="Times New Roman" w:cs="Times New Roman"/>
              </w:rPr>
              <w:t>0.6</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270" w:hRule="atLeast"/>
          <w:jc w:val="center"/>
        </w:trPr>
        <w:tc>
          <w:tcPr>
            <w:tcW w:w="2460"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b/>
                <w:bCs/>
                <w:color w:val="000000"/>
                <w:kern w:val="0"/>
                <w:sz w:val="22"/>
              </w:rPr>
            </w:pPr>
            <w:r>
              <w:rPr>
                <w:rFonts w:hint="default" w:ascii="Times New Roman" w:hAnsi="Times New Roman" w:cs="Times New Roman"/>
                <w:color w:val="000000"/>
                <w:kern w:val="0"/>
                <w:sz w:val="22"/>
              </w:rPr>
              <w:t xml:space="preserve">        火电</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b/>
                <w:bCs/>
                <w:color w:val="000000"/>
                <w:kern w:val="0"/>
                <w:sz w:val="22"/>
              </w:rPr>
            </w:pPr>
            <w:r>
              <w:rPr>
                <w:rFonts w:hint="default" w:ascii="Times New Roman" w:hAnsi="Times New Roman" w:cs="Times New Roman"/>
                <w:color w:val="000000"/>
                <w:kern w:val="0"/>
                <w:sz w:val="22"/>
              </w:rPr>
              <w:t>亿千瓦小时</w:t>
            </w:r>
          </w:p>
        </w:tc>
        <w:tc>
          <w:tcPr>
            <w:tcW w:w="2268" w:type="dxa"/>
            <w:tcBorders>
              <w:top w:val="nil"/>
              <w:bottom w:val="nil"/>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kern w:val="0"/>
                <w:sz w:val="22"/>
              </w:rPr>
            </w:pPr>
            <w:r>
              <w:rPr>
                <w:rFonts w:hint="eastAsia" w:ascii="Times New Roman" w:hAnsi="Times New Roman" w:cs="Times New Roman"/>
                <w:lang w:val="en-US" w:eastAsia="zh-CN"/>
              </w:rPr>
              <w:t xml:space="preserve">  </w:t>
            </w:r>
            <w:r>
              <w:rPr>
                <w:rFonts w:hint="default" w:ascii="Times New Roman" w:hAnsi="Times New Roman" w:cs="Times New Roman"/>
              </w:rPr>
              <w:t>452.17</w:t>
            </w:r>
          </w:p>
        </w:tc>
        <w:tc>
          <w:tcPr>
            <w:tcW w:w="2319" w:type="dxa"/>
            <w:tcBorders>
              <w:top w:val="nil"/>
              <w:bottom w:val="nil"/>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firstLine="420" w:firstLineChars="200"/>
              <w:jc w:val="both"/>
              <w:textAlignment w:val="center"/>
              <w:rPr>
                <w:rFonts w:hint="default" w:ascii="Times New Roman" w:hAnsi="Times New Roman" w:cs="Times New Roman"/>
                <w:b/>
                <w:bCs/>
                <w:color w:val="000000"/>
                <w:kern w:val="0"/>
                <w:sz w:val="22"/>
              </w:rPr>
            </w:pPr>
            <w:r>
              <w:rPr>
                <w:rFonts w:hint="default" w:ascii="Times New Roman" w:hAnsi="Times New Roman" w:cs="Times New Roman"/>
              </w:rPr>
              <w:t>9.5</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7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铁矿石原矿量</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2031.14</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-6.4</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粗  钢</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2361.04</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5.7</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钢  材</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2646.44</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0.2</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十种有色金属</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571.55</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11.8</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其中：铜</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65.18</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-6.8</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原铝</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331.25</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27.8</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铅</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38.83</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-6.5</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锌</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124.83</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-3.6</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锡</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10.50</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10.9</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硫  酸（折100%）</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1596.68</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1.9</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烧  碱（折100%）</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21.58</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-5.6</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化  肥（折100%）</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240.70</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12.6</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卷  烟</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万箱</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706.87</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0.5</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成品糖</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246.22</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-5.7</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精制茶叶 </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17.29</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19.3</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中成药</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5.77</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-5.7</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自来水生产量</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亿立方米</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12.31</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24.3</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机制纸及纸板</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97.01</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30.6</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水  泥</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11436.85</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-11.9</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平板玻璃</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万重量箱</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2310.52</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-5.7</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bottom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人造板</w:t>
            </w:r>
          </w:p>
        </w:tc>
        <w:tc>
          <w:tcPr>
            <w:tcW w:w="1645" w:type="dxa"/>
            <w:tcBorders>
              <w:top w:val="nil"/>
              <w:bottom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万立方米</w:t>
            </w:r>
          </w:p>
        </w:tc>
        <w:tc>
          <w:tcPr>
            <w:tcW w:w="2268" w:type="dxa"/>
            <w:tcBorders>
              <w:top w:val="nil"/>
              <w:bottom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366.91</w:t>
            </w:r>
          </w:p>
        </w:tc>
        <w:tc>
          <w:tcPr>
            <w:tcW w:w="2319" w:type="dxa"/>
            <w:tcBorders>
              <w:top w:val="nil"/>
              <w:bottom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rPr>
            </w:pPr>
            <w:r>
              <w:rPr>
                <w:rFonts w:hint="default" w:ascii="Times New Roman" w:hAnsi="Times New Roman" w:cs="Times New Roman"/>
                <w:lang w:val="en-US" w:eastAsia="zh-CN"/>
              </w:rPr>
              <w:t>3.4</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329" w:hRule="atLeast"/>
          <w:jc w:val="center"/>
        </w:trPr>
        <w:tc>
          <w:tcPr>
            <w:tcW w:w="2460" w:type="dxa"/>
            <w:tcBorders>
              <w:top w:val="nil"/>
            </w:tcBorders>
            <w:shd w:val="clear" w:color="auto" w:fill="FFFFFF"/>
            <w:noWrap w:val="0"/>
            <w:vAlign w:val="bottom"/>
          </w:tcPr>
          <w:p>
            <w:pPr>
              <w:keepNext w:val="0"/>
              <w:keepLines w:val="0"/>
              <w:pageBreakBefore w:val="0"/>
              <w:kinsoku/>
              <w:wordWrap/>
              <w:overflowPunct w:val="0"/>
              <w:topLinePunct w:val="0"/>
              <w:autoSpaceDE/>
              <w:autoSpaceDN/>
              <w:bidi w:val="0"/>
              <w:adjustRightInd/>
              <w:snapToGrid/>
              <w:spacing w:line="360" w:lineRule="exac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汽  车</w:t>
            </w:r>
          </w:p>
        </w:tc>
        <w:tc>
          <w:tcPr>
            <w:tcW w:w="1645" w:type="dxa"/>
            <w:tcBorders>
              <w:top w:val="nil"/>
            </w:tcBorders>
            <w:shd w:val="clear" w:color="auto" w:fill="FFFFFF"/>
            <w:noWrap w:val="0"/>
            <w:tcMar>
              <w:right w:w="0" w:type="dxa"/>
            </w:tcMar>
            <w:vAlign w:val="bottom"/>
          </w:tcPr>
          <w:p>
            <w:pPr>
              <w:keepNext w:val="0"/>
              <w:keepLines w:val="0"/>
              <w:pageBreakBefore w:val="0"/>
              <w:kinsoku/>
              <w:wordWrap/>
              <w:overflowPunct w:val="0"/>
              <w:topLinePunct w:val="0"/>
              <w:autoSpaceDE/>
              <w:autoSpaceDN/>
              <w:bidi w:val="0"/>
              <w:adjustRightInd/>
              <w:snapToGrid/>
              <w:spacing w:line="360" w:lineRule="exac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万辆</w:t>
            </w:r>
          </w:p>
        </w:tc>
        <w:tc>
          <w:tcPr>
            <w:tcW w:w="2268" w:type="dxa"/>
            <w:tcBorders>
              <w:top w:val="nil"/>
            </w:tcBorders>
            <w:shd w:val="clear" w:color="auto" w:fill="FFFFFF"/>
            <w:noWrap w:val="0"/>
            <w:tcMar>
              <w:right w:w="680" w:type="dxa"/>
            </w:tcMar>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2319" w:type="dxa"/>
            <w:tcBorders>
              <w:top w:val="nil"/>
            </w:tcBorders>
            <w:shd w:val="clear" w:color="auto" w:fill="FFFFFF"/>
            <w:noWrap w:val="0"/>
            <w:tcMar>
              <w:right w:w="680" w:type="dxa"/>
            </w:tcMar>
            <w:vAlign w:val="center"/>
          </w:tcPr>
          <w:p>
            <w:pPr>
              <w:keepNext w:val="0"/>
              <w:keepLines w:val="0"/>
              <w:pageBreakBefore w:val="0"/>
              <w:kinsoku/>
              <w:wordWrap/>
              <w:overflowPunct w:val="0"/>
              <w:topLinePunct w:val="0"/>
              <w:autoSpaceDE/>
              <w:autoSpaceDN/>
              <w:bidi w:val="0"/>
              <w:adjustRightInd/>
              <w:snapToGrid/>
              <w:spacing w:line="360" w:lineRule="exact"/>
              <w:ind w:leftChars="400"/>
              <w:jc w:val="right"/>
              <w:textAlignment w:val="center"/>
              <w:rPr>
                <w:rFonts w:hint="default" w:ascii="Times New Roman" w:hAnsi="Times New Roman" w:cs="Times New Roman"/>
                <w:lang w:val="en-US" w:eastAsia="zh-CN"/>
              </w:rPr>
            </w:pPr>
            <w:r>
              <w:rPr>
                <w:rFonts w:hint="default" w:ascii="Times New Roman" w:hAnsi="Times New Roman" w:cs="Times New Roman"/>
                <w:lang w:val="en-US" w:eastAsia="zh-CN"/>
              </w:rPr>
              <w:t>-14.2</w:t>
            </w:r>
          </w:p>
        </w:tc>
      </w:tr>
    </w:tbl>
    <w:p>
      <w:pPr>
        <w:keepNext w:val="0"/>
        <w:keepLines w:val="0"/>
        <w:pageBreakBefore w:val="0"/>
        <w:kinsoku/>
        <w:wordWrap/>
        <w:overflowPunct w:val="0"/>
        <w:topLinePunct w:val="0"/>
        <w:autoSpaceDE/>
        <w:autoSpaceDN/>
        <w:bidi w:val="0"/>
        <w:adjustRightInd/>
        <w:spacing w:before="156" w:beforeLines="50" w:line="560" w:lineRule="exact"/>
        <w:ind w:firstLine="640" w:firstLineChars="20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全年规模以上工业粗钢产量</w:t>
      </w:r>
      <w:r>
        <w:rPr>
          <w:rFonts w:hint="default" w:ascii="Times New Roman" w:hAnsi="Times New Roman" w:eastAsia="方正仿宋简体" w:cs="Times New Roman"/>
          <w:color w:val="000000"/>
          <w:sz w:val="32"/>
          <w:szCs w:val="32"/>
          <w:lang w:val="en-US" w:eastAsia="zh-CN"/>
        </w:rPr>
        <w:t>2361.04</w:t>
      </w:r>
      <w:r>
        <w:rPr>
          <w:rFonts w:hint="default" w:ascii="Times New Roman" w:hAnsi="Times New Roman" w:eastAsia="方正仿宋简体" w:cs="Times New Roman"/>
          <w:color w:val="000000"/>
          <w:sz w:val="32"/>
          <w:szCs w:val="32"/>
        </w:rPr>
        <w:t>万吨，</w:t>
      </w:r>
      <w:r>
        <w:rPr>
          <w:rFonts w:hint="eastAsia" w:ascii="Times New Roman" w:hAnsi="Times New Roman" w:eastAsia="方正仿宋简体" w:cs="Times New Roman"/>
          <w:color w:val="000000"/>
          <w:sz w:val="32"/>
          <w:szCs w:val="32"/>
          <w:lang w:eastAsia="zh-CN"/>
        </w:rPr>
        <w:t>比上年</w:t>
      </w:r>
      <w:r>
        <w:rPr>
          <w:rFonts w:hint="default" w:ascii="Times New Roman" w:hAnsi="Times New Roman" w:eastAsia="方正仿宋简体" w:cs="Times New Roman"/>
          <w:color w:val="000000"/>
          <w:sz w:val="32"/>
          <w:szCs w:val="32"/>
        </w:rPr>
        <w:t>增长</w:t>
      </w:r>
      <w:r>
        <w:rPr>
          <w:rFonts w:hint="default" w:ascii="Times New Roman" w:hAnsi="Times New Roman" w:eastAsia="方正仿宋简体" w:cs="Times New Roman"/>
          <w:color w:val="000000"/>
          <w:sz w:val="32"/>
          <w:szCs w:val="32"/>
          <w:lang w:val="en-US" w:eastAsia="zh-CN"/>
        </w:rPr>
        <w:t>5.7</w:t>
      </w:r>
      <w:r>
        <w:rPr>
          <w:rFonts w:hint="default" w:ascii="Times New Roman" w:hAnsi="Times New Roman" w:eastAsia="方正仿宋简体" w:cs="Times New Roman"/>
          <w:color w:val="000000"/>
          <w:sz w:val="32"/>
          <w:szCs w:val="32"/>
        </w:rPr>
        <w:t>%；钢材产量</w:t>
      </w:r>
      <w:r>
        <w:rPr>
          <w:rFonts w:hint="default" w:ascii="Times New Roman" w:hAnsi="Times New Roman" w:eastAsia="方正仿宋简体" w:cs="Times New Roman"/>
          <w:color w:val="000000"/>
          <w:sz w:val="32"/>
          <w:szCs w:val="32"/>
          <w:lang w:val="en-US" w:eastAsia="zh-CN"/>
        </w:rPr>
        <w:t>2646.44</w:t>
      </w:r>
      <w:r>
        <w:rPr>
          <w:rFonts w:hint="default" w:ascii="Times New Roman" w:hAnsi="Times New Roman" w:eastAsia="方正仿宋简体" w:cs="Times New Roman"/>
          <w:color w:val="000000"/>
          <w:sz w:val="32"/>
          <w:szCs w:val="32"/>
        </w:rPr>
        <w:t>万吨，</w:t>
      </w:r>
      <w:r>
        <w:rPr>
          <w:rFonts w:hint="default" w:ascii="Times New Roman" w:hAnsi="Times New Roman" w:eastAsia="方正仿宋简体" w:cs="Times New Roman"/>
          <w:color w:val="000000"/>
          <w:sz w:val="32"/>
          <w:szCs w:val="32"/>
          <w:lang w:eastAsia="zh-CN"/>
        </w:rPr>
        <w:t>增长</w:t>
      </w:r>
      <w:r>
        <w:rPr>
          <w:rFonts w:hint="default" w:ascii="Times New Roman" w:hAnsi="Times New Roman" w:eastAsia="方正仿宋简体" w:cs="Times New Roman"/>
          <w:color w:val="000000"/>
          <w:sz w:val="32"/>
          <w:szCs w:val="32"/>
          <w:lang w:val="en-US" w:eastAsia="zh-CN"/>
        </w:rPr>
        <w:t>0.2</w:t>
      </w:r>
      <w:r>
        <w:rPr>
          <w:rFonts w:hint="default" w:ascii="Times New Roman" w:hAnsi="Times New Roman" w:eastAsia="方正仿宋简体" w:cs="Times New Roman"/>
          <w:color w:val="000000"/>
          <w:sz w:val="32"/>
          <w:szCs w:val="32"/>
        </w:rPr>
        <w:t>%；十种有色金属产量</w:t>
      </w:r>
      <w:r>
        <w:rPr>
          <w:rFonts w:hint="default" w:ascii="Times New Roman" w:hAnsi="Times New Roman" w:eastAsia="方正仿宋简体" w:cs="Times New Roman"/>
          <w:color w:val="000000"/>
          <w:sz w:val="32"/>
          <w:szCs w:val="32"/>
          <w:lang w:val="en-US" w:eastAsia="zh-CN"/>
        </w:rPr>
        <w:t>571.55</w:t>
      </w:r>
      <w:r>
        <w:rPr>
          <w:rFonts w:hint="default" w:ascii="Times New Roman" w:hAnsi="Times New Roman" w:eastAsia="方正仿宋简体" w:cs="Times New Roman"/>
          <w:color w:val="000000"/>
          <w:sz w:val="32"/>
          <w:szCs w:val="32"/>
        </w:rPr>
        <w:t>万吨，增长</w:t>
      </w:r>
      <w:r>
        <w:rPr>
          <w:rFonts w:hint="default" w:ascii="Times New Roman" w:hAnsi="Times New Roman" w:eastAsia="方正仿宋简体" w:cs="Times New Roman"/>
          <w:color w:val="000000"/>
          <w:sz w:val="32"/>
          <w:szCs w:val="32"/>
          <w:lang w:val="en-US" w:eastAsia="zh-CN"/>
        </w:rPr>
        <w:t>11.8</w:t>
      </w:r>
      <w:r>
        <w:rPr>
          <w:rFonts w:hint="default" w:ascii="Times New Roman" w:hAnsi="Times New Roman" w:eastAsia="方正仿宋简体" w:cs="Times New Roman"/>
          <w:color w:val="000000"/>
          <w:sz w:val="32"/>
          <w:szCs w:val="32"/>
        </w:rPr>
        <w:t>%；水泥产量</w:t>
      </w:r>
      <w:r>
        <w:rPr>
          <w:rFonts w:hint="default" w:ascii="Times New Roman" w:hAnsi="Times New Roman" w:eastAsia="方正仿宋简体" w:cs="Times New Roman"/>
          <w:color w:val="000000"/>
          <w:sz w:val="32"/>
          <w:szCs w:val="32"/>
          <w:lang w:val="en-US" w:eastAsia="zh-CN"/>
        </w:rPr>
        <w:t>11436.85</w:t>
      </w:r>
      <w:r>
        <w:rPr>
          <w:rFonts w:hint="default" w:ascii="Times New Roman" w:hAnsi="Times New Roman" w:eastAsia="方正仿宋简体" w:cs="Times New Roman"/>
          <w:color w:val="000000"/>
          <w:sz w:val="32"/>
          <w:szCs w:val="32"/>
        </w:rPr>
        <w:t>万吨，</w:t>
      </w:r>
      <w:r>
        <w:rPr>
          <w:rFonts w:hint="default" w:ascii="Times New Roman" w:hAnsi="Times New Roman" w:eastAsia="方正仿宋简体" w:cs="Times New Roman"/>
          <w:color w:val="000000"/>
          <w:sz w:val="32"/>
          <w:szCs w:val="32"/>
          <w:lang w:eastAsia="zh-CN"/>
        </w:rPr>
        <w:t>下降</w:t>
      </w:r>
      <w:r>
        <w:rPr>
          <w:rFonts w:hint="default" w:ascii="Times New Roman" w:hAnsi="Times New Roman" w:eastAsia="方正仿宋简体" w:cs="Times New Roman"/>
          <w:color w:val="000000"/>
          <w:sz w:val="32"/>
          <w:szCs w:val="32"/>
          <w:lang w:val="en-US" w:eastAsia="zh-CN"/>
        </w:rPr>
        <w:t>11.9</w:t>
      </w:r>
      <w:r>
        <w:rPr>
          <w:rFonts w:hint="default" w:ascii="Times New Roman" w:hAnsi="Times New Roman" w:eastAsia="方正仿宋简体" w:cs="Times New Roman"/>
          <w:color w:val="000000"/>
          <w:sz w:val="32"/>
          <w:szCs w:val="32"/>
        </w:rPr>
        <w:t>%；卷烟产量</w:t>
      </w:r>
      <w:r>
        <w:rPr>
          <w:rFonts w:hint="default" w:ascii="Times New Roman" w:hAnsi="Times New Roman" w:eastAsia="方正仿宋简体" w:cs="Times New Roman"/>
          <w:color w:val="000000"/>
          <w:sz w:val="32"/>
          <w:szCs w:val="32"/>
          <w:lang w:val="en-US" w:eastAsia="zh-CN"/>
        </w:rPr>
        <w:t>706.87</w:t>
      </w:r>
      <w:r>
        <w:rPr>
          <w:rFonts w:hint="default" w:ascii="Times New Roman" w:hAnsi="Times New Roman" w:eastAsia="方正仿宋简体" w:cs="Times New Roman"/>
          <w:color w:val="000000"/>
          <w:sz w:val="32"/>
          <w:szCs w:val="32"/>
        </w:rPr>
        <w:t>万箱，增长</w:t>
      </w:r>
      <w:r>
        <w:rPr>
          <w:rFonts w:hint="default" w:ascii="Times New Roman" w:hAnsi="Times New Roman" w:eastAsia="方正仿宋简体" w:cs="Times New Roman"/>
          <w:color w:val="000000"/>
          <w:sz w:val="32"/>
          <w:szCs w:val="32"/>
          <w:lang w:val="en-US" w:eastAsia="zh-CN"/>
        </w:rPr>
        <w:t>0.5</w:t>
      </w:r>
      <w:r>
        <w:rPr>
          <w:rFonts w:hint="default" w:ascii="Times New Roman" w:hAnsi="Times New Roman" w:eastAsia="方正仿宋简体" w:cs="Times New Roman"/>
          <w:color w:val="000000"/>
          <w:sz w:val="32"/>
          <w:szCs w:val="32"/>
        </w:rPr>
        <w:t>%；成品糖产量</w:t>
      </w:r>
      <w:r>
        <w:rPr>
          <w:rFonts w:hint="default" w:ascii="Times New Roman" w:hAnsi="Times New Roman" w:eastAsia="方正仿宋简体" w:cs="Times New Roman"/>
          <w:color w:val="000000"/>
          <w:sz w:val="32"/>
          <w:szCs w:val="32"/>
          <w:lang w:val="en-US" w:eastAsia="zh-CN"/>
        </w:rPr>
        <w:t>246.22</w:t>
      </w:r>
      <w:r>
        <w:rPr>
          <w:rFonts w:hint="default" w:ascii="Times New Roman" w:hAnsi="Times New Roman" w:eastAsia="方正仿宋简体" w:cs="Times New Roman"/>
          <w:color w:val="000000"/>
          <w:sz w:val="32"/>
          <w:szCs w:val="32"/>
        </w:rPr>
        <w:t>万吨，</w:t>
      </w:r>
      <w:r>
        <w:rPr>
          <w:rFonts w:hint="default" w:ascii="Times New Roman" w:hAnsi="Times New Roman" w:eastAsia="方正仿宋简体" w:cs="Times New Roman"/>
          <w:color w:val="000000"/>
          <w:sz w:val="32"/>
          <w:szCs w:val="32"/>
          <w:lang w:eastAsia="zh-CN"/>
        </w:rPr>
        <w:t>下降</w:t>
      </w:r>
      <w:r>
        <w:rPr>
          <w:rFonts w:hint="default" w:ascii="Times New Roman" w:hAnsi="Times New Roman" w:eastAsia="方正仿宋简体" w:cs="Times New Roman"/>
          <w:color w:val="000000"/>
          <w:sz w:val="32"/>
          <w:szCs w:val="32"/>
          <w:lang w:val="en-US" w:eastAsia="zh-CN"/>
        </w:rPr>
        <w:t>5.7</w:t>
      </w:r>
      <w:r>
        <w:rPr>
          <w:rFonts w:hint="default" w:ascii="Times New Roman" w:hAnsi="Times New Roman" w:eastAsia="方正仿宋简体" w:cs="Times New Roman"/>
          <w:color w:val="000000"/>
          <w:sz w:val="32"/>
          <w:szCs w:val="32"/>
        </w:rPr>
        <w:t>%。</w:t>
      </w:r>
    </w:p>
    <w:p>
      <w:pPr>
        <w:pStyle w:val="2"/>
        <w:keepNext w:val="0"/>
        <w:keepLines w:val="0"/>
        <w:pageBreakBefore w:val="0"/>
        <w:kinsoku/>
        <w:wordWrap/>
        <w:overflowPunct w:val="0"/>
        <w:topLinePunct w:val="0"/>
        <w:autoSpaceDE/>
        <w:autoSpaceDN/>
        <w:bidi w:val="0"/>
        <w:adjustRightInd/>
        <w:spacing w:line="560" w:lineRule="exact"/>
        <w:ind w:left="0" w:leftChars="0" w:firstLine="640" w:firstLineChars="200"/>
        <w:jc w:val="both"/>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全年规模以上工业企业实现利税</w:t>
      </w:r>
      <w:r>
        <w:rPr>
          <w:rFonts w:hint="default" w:ascii="Times New Roman" w:hAnsi="Times New Roman" w:eastAsia="方正仿宋简体" w:cs="Times New Roman"/>
          <w:color w:val="000000"/>
          <w:sz w:val="32"/>
          <w:szCs w:val="32"/>
          <w:lang w:val="en-US" w:eastAsia="zh-CN"/>
        </w:rPr>
        <w:t>2768.6</w:t>
      </w:r>
      <w:r>
        <w:rPr>
          <w:rFonts w:hint="eastAsia" w:ascii="Times New Roman" w:hAnsi="Times New Roman" w:eastAsia="方正仿宋简体" w:cs="Times New Roman"/>
          <w:color w:val="000000"/>
          <w:sz w:val="32"/>
          <w:szCs w:val="32"/>
          <w:lang w:val="en-US" w:eastAsia="zh-CN"/>
        </w:rPr>
        <w:t>8</w:t>
      </w:r>
      <w:r>
        <w:rPr>
          <w:rFonts w:hint="default" w:ascii="Times New Roman" w:hAnsi="Times New Roman" w:eastAsia="方正仿宋简体" w:cs="Times New Roman"/>
          <w:color w:val="000000"/>
          <w:sz w:val="32"/>
          <w:szCs w:val="32"/>
        </w:rPr>
        <w:t>亿元，比上年增长</w:t>
      </w:r>
      <w:r>
        <w:rPr>
          <w:rFonts w:hint="default" w:ascii="Times New Roman" w:hAnsi="Times New Roman" w:eastAsia="方正仿宋简体" w:cs="Times New Roman"/>
          <w:color w:val="000000"/>
          <w:sz w:val="32"/>
          <w:szCs w:val="32"/>
          <w:lang w:val="en-US" w:eastAsia="zh-CN"/>
        </w:rPr>
        <w:t>11.9</w:t>
      </w:r>
      <w:r>
        <w:rPr>
          <w:rFonts w:hint="default" w:ascii="Times New Roman" w:hAnsi="Times New Roman" w:eastAsia="方正仿宋简体" w:cs="Times New Roman"/>
          <w:color w:val="000000"/>
          <w:sz w:val="32"/>
          <w:szCs w:val="32"/>
        </w:rPr>
        <w:t>%，其中，实现利润</w:t>
      </w:r>
      <w:r>
        <w:rPr>
          <w:rFonts w:hint="default" w:ascii="Times New Roman" w:hAnsi="Times New Roman" w:eastAsia="方正仿宋简体" w:cs="Times New Roman"/>
          <w:color w:val="000000"/>
          <w:sz w:val="32"/>
          <w:szCs w:val="32"/>
          <w:lang w:val="en-US" w:eastAsia="zh-CN"/>
        </w:rPr>
        <w:t>1210.96</w:t>
      </w:r>
      <w:r>
        <w:rPr>
          <w:rFonts w:hint="default" w:ascii="Times New Roman" w:hAnsi="Times New Roman" w:eastAsia="方正仿宋简体" w:cs="Times New Roman"/>
          <w:color w:val="000000"/>
          <w:sz w:val="32"/>
          <w:szCs w:val="32"/>
        </w:rPr>
        <w:t>亿元，增长</w:t>
      </w:r>
      <w:r>
        <w:rPr>
          <w:rFonts w:hint="default" w:ascii="Times New Roman" w:hAnsi="Times New Roman" w:eastAsia="方正仿宋简体" w:cs="Times New Roman"/>
          <w:color w:val="000000"/>
          <w:sz w:val="32"/>
          <w:szCs w:val="32"/>
          <w:lang w:val="en-US" w:eastAsia="zh-CN"/>
        </w:rPr>
        <w:t>19.6</w:t>
      </w:r>
      <w:r>
        <w:rPr>
          <w:rFonts w:hint="default" w:ascii="Times New Roman" w:hAnsi="Times New Roman" w:eastAsia="方正仿宋简体" w:cs="Times New Roman"/>
          <w:color w:val="000000"/>
          <w:sz w:val="32"/>
          <w:szCs w:val="32"/>
        </w:rPr>
        <w:t>%。</w:t>
      </w:r>
    </w:p>
    <w:p>
      <w:pPr>
        <w:pStyle w:val="2"/>
        <w:keepNext w:val="0"/>
        <w:keepLines w:val="0"/>
        <w:pageBreakBefore w:val="0"/>
        <w:kinsoku/>
        <w:wordWrap/>
        <w:overflowPunct w:val="0"/>
        <w:topLinePunct w:val="0"/>
        <w:autoSpaceDE/>
        <w:autoSpaceDN/>
        <w:bidi w:val="0"/>
        <w:adjustRightInd/>
        <w:spacing w:line="560" w:lineRule="exact"/>
        <w:ind w:left="0" w:leftChars="0" w:firstLine="640" w:firstLineChars="200"/>
        <w:jc w:val="both"/>
        <w:rPr>
          <w:rFonts w:hint="default" w:ascii="Times New Roman" w:hAnsi="Times New Roman" w:eastAsia="黑体" w:cs="Times New Roman"/>
          <w:bCs/>
          <w:sz w:val="32"/>
          <w:szCs w:val="32"/>
        </w:rPr>
      </w:pPr>
      <w:r>
        <w:rPr>
          <w:rFonts w:hint="default" w:ascii="Times New Roman" w:hAnsi="Times New Roman" w:eastAsia="仿宋_GB2312" w:cs="Times New Roman"/>
          <w:sz w:val="32"/>
          <w:szCs w:val="32"/>
        </w:rPr>
        <w:t>全年全社会建筑业增加值3040.43亿元，比上年增长2.8%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全省具有资质等级的总承包和专业承包建筑业企业完成总产值</w:t>
      </w:r>
      <w:r>
        <w:rPr>
          <w:rFonts w:hint="default" w:ascii="Times New Roman" w:hAnsi="Times New Roman" w:eastAsia="方正仿宋简体" w:cs="Times New Roman"/>
          <w:sz w:val="32"/>
          <w:szCs w:val="32"/>
          <w:lang w:val="en-US" w:eastAsia="zh-CN"/>
        </w:rPr>
        <w:t>7336.58</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US" w:eastAsia="zh-CN"/>
        </w:rPr>
        <w:t>9.1</w:t>
      </w:r>
      <w:r>
        <w:rPr>
          <w:rFonts w:hint="default" w:ascii="Times New Roman" w:hAnsi="Times New Roman" w:eastAsia="方正仿宋简体" w:cs="Times New Roman"/>
          <w:sz w:val="32"/>
          <w:szCs w:val="32"/>
        </w:rPr>
        <w:t>%；实现利润</w:t>
      </w:r>
      <w:r>
        <w:rPr>
          <w:rFonts w:hint="default" w:ascii="Times New Roman" w:hAnsi="Times New Roman" w:eastAsia="方正仿宋简体" w:cs="Times New Roman"/>
          <w:color w:val="auto"/>
          <w:sz w:val="32"/>
          <w:szCs w:val="32"/>
          <w:lang w:val="en-US" w:eastAsia="zh-CN"/>
        </w:rPr>
        <w:t>180.36</w:t>
      </w:r>
      <w:r>
        <w:rPr>
          <w:rFonts w:hint="default" w:ascii="Times New Roman" w:hAnsi="Times New Roman" w:eastAsia="方正仿宋简体" w:cs="Times New Roman"/>
          <w:sz w:val="32"/>
          <w:szCs w:val="32"/>
        </w:rPr>
        <w:t>亿元，</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color w:val="auto"/>
          <w:sz w:val="32"/>
          <w:szCs w:val="32"/>
          <w:lang w:val="en-US" w:eastAsia="zh-CN"/>
        </w:rPr>
        <w:t>22.3</w:t>
      </w:r>
      <w:r>
        <w:rPr>
          <w:rFonts w:hint="default" w:ascii="Times New Roman" w:hAnsi="Times New Roman" w:eastAsia="方正仿宋简体" w:cs="Times New Roman"/>
          <w:sz w:val="32"/>
          <w:szCs w:val="32"/>
        </w:rPr>
        <w:t>%；上缴税金</w:t>
      </w:r>
      <w:r>
        <w:rPr>
          <w:rFonts w:hint="default" w:ascii="Times New Roman" w:hAnsi="Times New Roman" w:eastAsia="方正仿宋简体" w:cs="Times New Roman"/>
          <w:sz w:val="32"/>
          <w:szCs w:val="32"/>
          <w:lang w:val="en-US" w:eastAsia="zh-CN"/>
        </w:rPr>
        <w:t>141.55</w:t>
      </w:r>
      <w:r>
        <w:rPr>
          <w:rFonts w:hint="default" w:ascii="Times New Roman" w:hAnsi="Times New Roman" w:eastAsia="方正仿宋简体" w:cs="Times New Roman"/>
          <w:sz w:val="32"/>
          <w:szCs w:val="32"/>
        </w:rPr>
        <w:t>亿元，下降</w:t>
      </w:r>
      <w:r>
        <w:rPr>
          <w:rFonts w:hint="default" w:ascii="Times New Roman" w:hAnsi="Times New Roman" w:eastAsia="方正仿宋简体" w:cs="Times New Roman"/>
          <w:sz w:val="32"/>
          <w:szCs w:val="32"/>
          <w:lang w:val="en-US" w:eastAsia="zh-CN"/>
        </w:rPr>
        <w:t>28.7</w:t>
      </w:r>
      <w:r>
        <w:rPr>
          <w:rFonts w:hint="default" w:ascii="Times New Roman" w:hAnsi="Times New Roman" w:eastAsia="方正仿宋简体" w:cs="Times New Roman"/>
          <w:sz w:val="32"/>
          <w:szCs w:val="32"/>
        </w:rPr>
        <w:t>%。</w:t>
      </w:r>
    </w:p>
    <w:p>
      <w:pPr>
        <w:keepNext w:val="0"/>
        <w:keepLines w:val="0"/>
        <w:pageBreakBefore w:val="0"/>
        <w:kinsoku/>
        <w:wordWrap/>
        <w:overflowPunct w:val="0"/>
        <w:topLinePunct w:val="0"/>
        <w:autoSpaceDE/>
        <w:autoSpaceDN/>
        <w:bidi w:val="0"/>
        <w:adjustRightInd/>
        <w:spacing w:before="156" w:beforeLines="50" w:after="156" w:afterLines="50" w:line="56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四、固定资产投资和房地产业</w:t>
      </w:r>
    </w:p>
    <w:p>
      <w:pPr>
        <w:keepNext w:val="0"/>
        <w:keepLines w:val="0"/>
        <w:pageBreakBefore w:val="0"/>
        <w:shd w:val="clear" w:color="auto" w:fill="FFFFFF"/>
        <w:kinsoku/>
        <w:wordWrap/>
        <w:overflowPunct w:val="0"/>
        <w:topLinePunct w:val="0"/>
        <w:autoSpaceDE/>
        <w:autoSpaceDN/>
        <w:bidi w:val="0"/>
        <w:adjustRightInd/>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全年固定资产投资（不含农户）</w:t>
      </w:r>
      <w:r>
        <w:rPr>
          <w:rStyle w:val="15"/>
          <w:rFonts w:hint="default" w:ascii="Times New Roman" w:hAnsi="Times New Roman" w:eastAsia="仿宋_GB2312" w:cs="Times New Roman"/>
          <w:sz w:val="32"/>
          <w:szCs w:val="32"/>
        </w:rPr>
        <w:t>[</w:t>
      </w:r>
      <w:r>
        <w:rPr>
          <w:rStyle w:val="15"/>
          <w:rFonts w:hint="default" w:ascii="Times New Roman" w:hAnsi="Times New Roman" w:eastAsia="仿宋_GB2312" w:cs="Times New Roman"/>
          <w:sz w:val="32"/>
          <w:szCs w:val="32"/>
        </w:rPr>
        <w:endnoteReference w:id="9"/>
      </w:r>
      <w:r>
        <w:rPr>
          <w:rStyle w:val="15"/>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比上年增长</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w:t>
      </w:r>
      <w:r>
        <w:rPr>
          <w:rFonts w:hint="default" w:ascii="Times New Roman" w:hAnsi="Times New Roman" w:eastAsia="方正仿宋简体" w:cs="Times New Roman"/>
          <w:sz w:val="32"/>
          <w:szCs w:val="32"/>
        </w:rPr>
        <w:t>分三次产业看，第一产业投资增长</w:t>
      </w:r>
      <w:r>
        <w:rPr>
          <w:rFonts w:hint="default" w:ascii="Times New Roman" w:hAnsi="Times New Roman" w:eastAsia="方正仿宋简体" w:cs="Times New Roman"/>
          <w:sz w:val="32"/>
          <w:szCs w:val="32"/>
          <w:lang w:val="en-US" w:eastAsia="zh-CN"/>
        </w:rPr>
        <w:t>30.0</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第二产业投资增长</w:t>
      </w:r>
      <w:r>
        <w:rPr>
          <w:rFonts w:hint="default" w:ascii="Times New Roman" w:hAnsi="Times New Roman" w:eastAsia="方正仿宋简体" w:cs="Times New Roman"/>
          <w:sz w:val="32"/>
          <w:szCs w:val="32"/>
          <w:lang w:val="en-US" w:eastAsia="zh-CN"/>
        </w:rPr>
        <w:t>2.8</w:t>
      </w:r>
      <w:r>
        <w:rPr>
          <w:rFonts w:hint="default" w:ascii="Times New Roman" w:hAnsi="Times New Roman" w:eastAsia="方正仿宋简体" w:cs="Times New Roman"/>
          <w:sz w:val="32"/>
          <w:szCs w:val="32"/>
        </w:rPr>
        <w:t>%，第三产业投资增长</w:t>
      </w:r>
      <w:r>
        <w:rPr>
          <w:rFonts w:hint="default" w:ascii="Times New Roman" w:hAnsi="Times New Roman" w:eastAsia="方正仿宋简体" w:cs="Times New Roman"/>
          <w:sz w:val="32"/>
          <w:szCs w:val="32"/>
          <w:lang w:val="en-US" w:eastAsia="zh-CN"/>
        </w:rPr>
        <w:t>2.1</w:t>
      </w:r>
      <w:r>
        <w:rPr>
          <w:rFonts w:hint="default" w:ascii="Times New Roman" w:hAnsi="Times New Roman" w:eastAsia="方正仿宋简体" w:cs="Times New Roman"/>
          <w:sz w:val="32"/>
          <w:szCs w:val="32"/>
        </w:rPr>
        <w:t>%。</w:t>
      </w:r>
    </w:p>
    <w:p>
      <w:pPr>
        <w:pStyle w:val="3"/>
        <w:keepNext w:val="0"/>
        <w:keepLines w:val="0"/>
        <w:pageBreakBefore w:val="0"/>
        <w:kinsoku/>
        <w:wordWrap/>
        <w:overflowPunct w:val="0"/>
        <w:topLinePunct w:val="0"/>
        <w:autoSpaceDE/>
        <w:autoSpaceDN/>
        <w:bidi w:val="0"/>
        <w:adjustRightInd/>
        <w:spacing w:line="240" w:lineRule="auto"/>
        <w:jc w:val="center"/>
        <w:rPr>
          <w:rFonts w:hint="default" w:ascii="Times New Roman" w:hAnsi="Times New Roman" w:eastAsia="方正仿宋简体" w:cs="Times New Roman"/>
          <w:sz w:val="32"/>
          <w:szCs w:val="32"/>
        </w:rPr>
      </w:pPr>
      <w:r>
        <w:drawing>
          <wp:inline distT="0" distB="0" distL="114300" distR="114300">
            <wp:extent cx="4581525" cy="27622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4581525" cy="2762250"/>
                    </a:xfrm>
                    <a:prstGeom prst="rect">
                      <a:avLst/>
                    </a:prstGeom>
                    <a:noFill/>
                    <a:ln>
                      <a:noFill/>
                    </a:ln>
                  </pic:spPr>
                </pic:pic>
              </a:graphicData>
            </a:graphic>
          </wp:inline>
        </w:drawing>
      </w:r>
    </w:p>
    <w:p>
      <w:pPr>
        <w:pStyle w:val="3"/>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民间固定资产投资</w:t>
      </w:r>
      <w:r>
        <w:rPr>
          <w:rFonts w:hint="eastAsia" w:ascii="Times New Roman" w:hAnsi="Times New Roman" w:eastAsia="方正仿宋简体" w:cs="Times New Roman"/>
          <w:sz w:val="32"/>
          <w:szCs w:val="32"/>
          <w:lang w:eastAsia="zh-CN"/>
        </w:rPr>
        <w:t>比上年</w:t>
      </w:r>
      <w:r>
        <w:rPr>
          <w:rFonts w:hint="default" w:ascii="Times New Roman" w:hAnsi="Times New Roman" w:eastAsia="方正仿宋简体" w:cs="Times New Roman"/>
          <w:sz w:val="32"/>
          <w:szCs w:val="32"/>
        </w:rPr>
        <w:t>增长</w:t>
      </w:r>
      <w:r>
        <w:rPr>
          <w:rFonts w:hint="default" w:ascii="Times New Roman" w:hAnsi="Times New Roman" w:eastAsia="方正仿宋简体" w:cs="Times New Roman"/>
          <w:sz w:val="32"/>
          <w:szCs w:val="32"/>
          <w:lang w:val="en-US" w:eastAsia="zh-CN"/>
        </w:rPr>
        <w:t>5.3</w:t>
      </w:r>
      <w:r>
        <w:rPr>
          <w:rFonts w:hint="default" w:ascii="Times New Roman" w:hAnsi="Times New Roman" w:eastAsia="方正仿宋简体" w:cs="Times New Roman"/>
          <w:sz w:val="32"/>
          <w:szCs w:val="32"/>
        </w:rPr>
        <w:t>%，占全省固定资产投资的比重</w:t>
      </w:r>
      <w:r>
        <w:rPr>
          <w:rFonts w:hint="default" w:ascii="Times New Roman" w:hAnsi="Times New Roman" w:eastAsia="方正仿宋简体" w:cs="Times New Roman"/>
          <w:sz w:val="32"/>
          <w:szCs w:val="32"/>
          <w:lang w:val="en-US" w:eastAsia="zh-CN"/>
        </w:rPr>
        <w:t>44.0</w:t>
      </w:r>
      <w:r>
        <w:rPr>
          <w:rFonts w:hint="default" w:ascii="Times New Roman" w:hAnsi="Times New Roman" w:eastAsia="方正仿宋简体" w:cs="Times New Roman"/>
          <w:sz w:val="32"/>
          <w:szCs w:val="32"/>
        </w:rPr>
        <w:t>%。工业投资增长</w:t>
      </w:r>
      <w:r>
        <w:rPr>
          <w:rFonts w:hint="default" w:ascii="Times New Roman" w:hAnsi="Times New Roman" w:eastAsia="方正仿宋简体" w:cs="Times New Roman"/>
          <w:sz w:val="32"/>
          <w:szCs w:val="32"/>
          <w:lang w:val="en-US" w:eastAsia="zh-CN"/>
        </w:rPr>
        <w:t>2.7</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占全省固定资产投资比重</w:t>
      </w:r>
      <w:r>
        <w:rPr>
          <w:rFonts w:hint="eastAsia" w:ascii="Times New Roman" w:hAnsi="Times New Roman" w:eastAsia="方正仿宋简体" w:cs="Times New Roman"/>
          <w:sz w:val="32"/>
          <w:szCs w:val="32"/>
          <w:lang w:val="en-US" w:eastAsia="zh-CN"/>
        </w:rPr>
        <w:t>15.3%。</w:t>
      </w:r>
      <w:r>
        <w:rPr>
          <w:rFonts w:hint="default" w:ascii="Times New Roman" w:hAnsi="Times New Roman" w:eastAsia="方正仿宋简体" w:cs="Times New Roman"/>
          <w:sz w:val="32"/>
          <w:szCs w:val="32"/>
        </w:rPr>
        <w:t>基础设施投资增长</w:t>
      </w:r>
      <w:r>
        <w:rPr>
          <w:rFonts w:hint="default" w:ascii="Times New Roman" w:hAnsi="Times New Roman" w:eastAsia="方正仿宋简体" w:cs="Times New Roman"/>
          <w:sz w:val="32"/>
          <w:szCs w:val="32"/>
          <w:lang w:val="en-US" w:eastAsia="zh-CN"/>
        </w:rPr>
        <w:t>7.5</w:t>
      </w:r>
      <w:r>
        <w:rPr>
          <w:rFonts w:hint="default" w:ascii="Times New Roman" w:hAnsi="Times New Roman" w:eastAsia="方正仿宋简体" w:cs="Times New Roman"/>
          <w:sz w:val="32"/>
          <w:szCs w:val="32"/>
        </w:rPr>
        <w:t>%，占全省固定资产投资比重</w:t>
      </w:r>
      <w:r>
        <w:rPr>
          <w:rFonts w:hint="default" w:ascii="Times New Roman" w:hAnsi="Times New Roman" w:eastAsia="方正仿宋简体" w:cs="Times New Roman"/>
          <w:sz w:val="32"/>
          <w:szCs w:val="32"/>
          <w:lang w:val="en-US" w:eastAsia="zh-CN"/>
        </w:rPr>
        <w:t>41.7</w:t>
      </w:r>
      <w:r>
        <w:rPr>
          <w:rFonts w:hint="default" w:ascii="Times New Roman" w:hAnsi="Times New Roman" w:eastAsia="方正仿宋简体" w:cs="Times New Roman"/>
          <w:sz w:val="32"/>
          <w:szCs w:val="32"/>
        </w:rPr>
        <w:t>%。</w:t>
      </w:r>
    </w:p>
    <w:p>
      <w:pPr>
        <w:keepNext w:val="0"/>
        <w:keepLines w:val="0"/>
        <w:pageBreakBefore w:val="0"/>
        <w:shd w:val="clear" w:color="auto" w:fill="FFFFFF"/>
        <w:kinsoku/>
        <w:wordWrap/>
        <w:overflowPunct w:val="0"/>
        <w:topLinePunct w:val="0"/>
        <w:autoSpaceDE/>
        <w:autoSpaceDN/>
        <w:bidi w:val="0"/>
        <w:adjustRightInd/>
        <w:spacing w:after="156" w:afterLines="50" w:line="560" w:lineRule="exact"/>
        <w:rPr>
          <w:rFonts w:hint="default" w:ascii="Times New Roman" w:hAnsi="Times New Roman" w:eastAsia="方正黑体简体" w:cs="Times New Roman"/>
          <w:sz w:val="28"/>
          <w:szCs w:val="28"/>
        </w:rPr>
      </w:pPr>
      <w:r>
        <w:rPr>
          <w:rFonts w:hint="default" w:ascii="Times New Roman" w:hAnsi="Times New Roman" w:eastAsia="方正黑体简体" w:cs="Times New Roman"/>
          <w:sz w:val="28"/>
          <w:szCs w:val="28"/>
        </w:rPr>
        <w:t xml:space="preserve">           表4  202</w:t>
      </w:r>
      <w:r>
        <w:rPr>
          <w:rFonts w:hint="default" w:ascii="Times New Roman" w:hAnsi="Times New Roman" w:eastAsia="方正黑体简体" w:cs="Times New Roman"/>
          <w:sz w:val="28"/>
          <w:szCs w:val="28"/>
          <w:lang w:val="en-US" w:eastAsia="zh-CN"/>
        </w:rPr>
        <w:t>1</w:t>
      </w:r>
      <w:r>
        <w:rPr>
          <w:rFonts w:hint="default" w:ascii="Times New Roman" w:hAnsi="Times New Roman" w:eastAsia="方正黑体简体" w:cs="Times New Roman"/>
          <w:sz w:val="28"/>
          <w:szCs w:val="28"/>
        </w:rPr>
        <w:t>年云南分行业固定资产投资增</w:t>
      </w:r>
      <w:r>
        <w:rPr>
          <w:rFonts w:hint="default" w:ascii="Times New Roman" w:hAnsi="Times New Roman" w:eastAsia="方正黑体简体" w:cs="Times New Roman"/>
          <w:sz w:val="28"/>
          <w:szCs w:val="28"/>
          <w:lang w:eastAsia="zh-CN"/>
        </w:rPr>
        <w:t>长</w:t>
      </w:r>
      <w:r>
        <w:rPr>
          <w:rFonts w:hint="default" w:ascii="Times New Roman" w:hAnsi="Times New Roman" w:eastAsia="方正黑体简体" w:cs="Times New Roman"/>
          <w:sz w:val="28"/>
          <w:szCs w:val="28"/>
        </w:rPr>
        <w:t>速度</w:t>
      </w:r>
    </w:p>
    <w:tbl>
      <w:tblPr>
        <w:tblStyle w:val="13"/>
        <w:tblW w:w="7803" w:type="dxa"/>
        <w:jc w:val="center"/>
        <w:tblLayout w:type="fixed"/>
        <w:tblCellMar>
          <w:top w:w="0" w:type="dxa"/>
          <w:left w:w="17" w:type="dxa"/>
          <w:bottom w:w="0" w:type="dxa"/>
          <w:right w:w="1701" w:type="dxa"/>
        </w:tblCellMar>
      </w:tblPr>
      <w:tblGrid>
        <w:gridCol w:w="4685"/>
        <w:gridCol w:w="3118"/>
      </w:tblGrid>
      <w:tr>
        <w:tblPrEx>
          <w:tblCellMar>
            <w:top w:w="0" w:type="dxa"/>
            <w:left w:w="17" w:type="dxa"/>
            <w:bottom w:w="0" w:type="dxa"/>
            <w:right w:w="1701" w:type="dxa"/>
          </w:tblCellMar>
        </w:tblPrEx>
        <w:trPr>
          <w:trHeight w:val="366" w:hRule="atLeast"/>
          <w:jc w:val="center"/>
        </w:trPr>
        <w:tc>
          <w:tcPr>
            <w:tcW w:w="4685" w:type="dxa"/>
            <w:tcBorders>
              <w:top w:val="single" w:color="000000" w:sz="12" w:space="0"/>
              <w:bottom w:val="single" w:color="000000" w:sz="4" w:space="0"/>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行  业</w:t>
            </w:r>
          </w:p>
        </w:tc>
        <w:tc>
          <w:tcPr>
            <w:tcW w:w="3118" w:type="dxa"/>
            <w:tcBorders>
              <w:top w:val="single" w:color="000000" w:sz="12" w:space="0"/>
              <w:bottom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ind w:firstLine="442" w:firstLineChars="200"/>
              <w:jc w:val="both"/>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 xml:space="preserve"> 比上年增长（%）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 xml:space="preserve">  全省</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b/>
                <w:sz w:val="22"/>
              </w:rPr>
            </w:pPr>
            <w:r>
              <w:rPr>
                <w:rFonts w:hint="default" w:ascii="Times New Roman" w:hAnsi="Times New Roman" w:cs="Times New Roman"/>
                <w:b/>
                <w:sz w:val="22"/>
              </w:rPr>
              <w:t xml:space="preserve">4.0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农林牧渔业 </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37.0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采矿业 </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3.9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制造业 </w:t>
            </w:r>
          </w:p>
        </w:tc>
        <w:tc>
          <w:tcPr>
            <w:tcW w:w="3118" w:type="dxa"/>
            <w:tcBorders>
              <w:top w:val="nil"/>
              <w:left w:val="single" w:color="auto" w:sz="4" w:space="0"/>
              <w:bottom w:val="nil"/>
              <w:right w:val="nil"/>
            </w:tcBorders>
            <w:shd w:val="clear" w:color="000000"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kern w:val="0"/>
                <w:sz w:val="22"/>
              </w:rPr>
            </w:pPr>
            <w:r>
              <w:rPr>
                <w:rFonts w:hint="default" w:ascii="Times New Roman" w:hAnsi="Times New Roman" w:cs="Times New Roman"/>
                <w:kern w:val="0"/>
                <w:sz w:val="22"/>
              </w:rPr>
              <w:t xml:space="preserve">0.4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#烟草制品业 </w:t>
            </w:r>
          </w:p>
        </w:tc>
        <w:tc>
          <w:tcPr>
            <w:tcW w:w="3118" w:type="dxa"/>
            <w:tcBorders>
              <w:top w:val="nil"/>
              <w:left w:val="single" w:color="auto" w:sz="4" w:space="0"/>
              <w:bottom w:val="nil"/>
              <w:right w:val="nil"/>
            </w:tcBorders>
            <w:shd w:val="clear" w:color="000000"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kern w:val="0"/>
                <w:sz w:val="22"/>
              </w:rPr>
            </w:pPr>
            <w:r>
              <w:rPr>
                <w:rFonts w:hint="default" w:ascii="Times New Roman" w:hAnsi="Times New Roman" w:cs="Times New Roman"/>
                <w:kern w:val="0"/>
                <w:sz w:val="22"/>
                <w:lang w:val="en-US" w:eastAsia="zh-CN"/>
              </w:rPr>
              <w:t xml:space="preserve">147.8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化学原料及化学制品制造业 </w:t>
            </w:r>
          </w:p>
        </w:tc>
        <w:tc>
          <w:tcPr>
            <w:tcW w:w="3118" w:type="dxa"/>
            <w:tcBorders>
              <w:top w:val="nil"/>
              <w:left w:val="single" w:color="auto" w:sz="4" w:space="0"/>
              <w:bottom w:val="nil"/>
              <w:right w:val="nil"/>
            </w:tcBorders>
            <w:shd w:val="clear" w:color="000000"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kern w:val="0"/>
                <w:sz w:val="22"/>
              </w:rPr>
            </w:pPr>
            <w:r>
              <w:rPr>
                <w:rFonts w:hint="default" w:ascii="Times New Roman" w:hAnsi="Times New Roman" w:cs="Times New Roman"/>
                <w:kern w:val="0"/>
                <w:sz w:val="22"/>
                <w:lang w:val="en-US" w:eastAsia="zh-CN"/>
              </w:rPr>
              <w:t xml:space="preserve">9.3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医药制造业 </w:t>
            </w:r>
          </w:p>
        </w:tc>
        <w:tc>
          <w:tcPr>
            <w:tcW w:w="3118" w:type="dxa"/>
            <w:tcBorders>
              <w:top w:val="nil"/>
              <w:left w:val="single" w:color="auto" w:sz="4" w:space="0"/>
              <w:bottom w:val="nil"/>
              <w:right w:val="nil"/>
            </w:tcBorders>
            <w:shd w:val="clear" w:color="000000"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kern w:val="0"/>
                <w:sz w:val="22"/>
              </w:rPr>
            </w:pPr>
            <w:r>
              <w:rPr>
                <w:rFonts w:hint="default" w:ascii="Times New Roman" w:hAnsi="Times New Roman" w:cs="Times New Roman"/>
                <w:kern w:val="0"/>
                <w:sz w:val="22"/>
                <w:lang w:val="en-US" w:eastAsia="zh-CN"/>
              </w:rPr>
              <w:t xml:space="preserve">-8.8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非金属矿物制品业 </w:t>
            </w:r>
          </w:p>
        </w:tc>
        <w:tc>
          <w:tcPr>
            <w:tcW w:w="3118" w:type="dxa"/>
            <w:tcBorders>
              <w:top w:val="nil"/>
              <w:left w:val="single" w:color="auto" w:sz="4" w:space="0"/>
              <w:bottom w:val="nil"/>
              <w:right w:val="nil"/>
            </w:tcBorders>
            <w:shd w:val="clear" w:color="000000"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kern w:val="0"/>
                <w:sz w:val="22"/>
              </w:rPr>
            </w:pPr>
            <w:r>
              <w:rPr>
                <w:rFonts w:hint="default" w:ascii="Times New Roman" w:hAnsi="Times New Roman" w:cs="Times New Roman"/>
                <w:kern w:val="0"/>
                <w:sz w:val="22"/>
                <w:lang w:val="en-US" w:eastAsia="zh-CN"/>
              </w:rPr>
              <w:t xml:space="preserve">-5.7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黑色金属冶炼及压延加工业 </w:t>
            </w:r>
          </w:p>
        </w:tc>
        <w:tc>
          <w:tcPr>
            <w:tcW w:w="3118" w:type="dxa"/>
            <w:tcBorders>
              <w:top w:val="nil"/>
              <w:left w:val="single" w:color="auto" w:sz="4" w:space="0"/>
              <w:bottom w:val="nil"/>
              <w:right w:val="nil"/>
            </w:tcBorders>
            <w:shd w:val="clear" w:color="000000"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kern w:val="0"/>
                <w:sz w:val="22"/>
              </w:rPr>
            </w:pPr>
            <w:r>
              <w:rPr>
                <w:rFonts w:hint="default" w:ascii="Times New Roman" w:hAnsi="Times New Roman" w:cs="Times New Roman"/>
                <w:kern w:val="0"/>
                <w:sz w:val="22"/>
                <w:lang w:val="en-US" w:eastAsia="zh-CN"/>
              </w:rPr>
              <w:t xml:space="preserve">69.3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有色金属冶炼及压延加工业 </w:t>
            </w:r>
          </w:p>
        </w:tc>
        <w:tc>
          <w:tcPr>
            <w:tcW w:w="3118" w:type="dxa"/>
            <w:tcBorders>
              <w:top w:val="nil"/>
              <w:left w:val="single" w:color="auto" w:sz="4" w:space="0"/>
              <w:bottom w:val="nil"/>
              <w:right w:val="nil"/>
            </w:tcBorders>
            <w:shd w:val="clear" w:color="000000"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kern w:val="0"/>
                <w:sz w:val="22"/>
              </w:rPr>
            </w:pPr>
            <w:r>
              <w:rPr>
                <w:rFonts w:hint="default" w:ascii="Times New Roman" w:hAnsi="Times New Roman" w:cs="Times New Roman"/>
                <w:kern w:val="0"/>
                <w:sz w:val="22"/>
                <w:lang w:val="en-US" w:eastAsia="zh-CN"/>
              </w:rPr>
              <w:t xml:space="preserve">-43.2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电力、热力、燃气及水的生产和供应 </w:t>
            </w:r>
          </w:p>
        </w:tc>
        <w:tc>
          <w:tcPr>
            <w:tcW w:w="3118" w:type="dxa"/>
            <w:tcBorders>
              <w:top w:val="nil"/>
              <w:left w:val="single" w:color="auto" w:sz="4" w:space="0"/>
              <w:bottom w:val="nil"/>
              <w:right w:val="nil"/>
            </w:tcBorders>
            <w:shd w:val="clear" w:color="000000"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7.3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建筑业 </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47.1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交通运输、仓储及邮政业 </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1.7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信息传输、软件和信息技术服务业 </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58.9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批发和零售业 </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-2.7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住宿和餐饮业 </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8.8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金融业 </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-63.3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房地产开发</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-4.3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租赁和商务服务业 </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-26.0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科学研究和技术服务业 </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-20.6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水利、环境和公共设施管理业 </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19.1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居民服务和其他服务业 </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7.0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教育 </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-30.6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卫生和社会工作 </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34.1 </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文化、体育和娱乐业 </w:t>
            </w:r>
          </w:p>
        </w:tc>
        <w:tc>
          <w:tcPr>
            <w:tcW w:w="3118" w:type="dxa"/>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-7.2 </w:t>
            </w:r>
          </w:p>
        </w:tc>
      </w:tr>
      <w:tr>
        <w:tblPrEx>
          <w:tblCellMar>
            <w:top w:w="0" w:type="dxa"/>
            <w:left w:w="17" w:type="dxa"/>
            <w:bottom w:w="0" w:type="dxa"/>
            <w:right w:w="1701" w:type="dxa"/>
          </w:tblCellMar>
        </w:tblPrEx>
        <w:trPr>
          <w:trHeight w:val="397" w:hRule="atLeast"/>
          <w:jc w:val="center"/>
        </w:trPr>
        <w:tc>
          <w:tcPr>
            <w:tcW w:w="4685" w:type="dxa"/>
            <w:tcBorders>
              <w:bottom w:val="single" w:color="000000" w:sz="12" w:space="0"/>
              <w:right w:val="single" w:color="000000" w:sz="4" w:space="0"/>
            </w:tcBorders>
            <w:shd w:val="clear" w:color="auto" w:fill="FFFFFF"/>
            <w:tcMar>
              <w:right w:w="0" w:type="dxa"/>
            </w:tcMar>
            <w:vAlign w:val="center"/>
          </w:tcPr>
          <w:p>
            <w:pPr>
              <w:keepNext w:val="0"/>
              <w:keepLines w:val="0"/>
              <w:pageBreakBefore w:val="0"/>
              <w:kinsoku/>
              <w:wordWrap/>
              <w:overflowPunct w:val="0"/>
              <w:topLinePunct w:val="0"/>
              <w:autoSpaceDE/>
              <w:autoSpaceDN/>
              <w:bidi w:val="0"/>
              <w:adjustRightInd/>
              <w:snapToGrid/>
              <w:spacing w:line="320" w:lineRule="exac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公共管理和社会组织 </w:t>
            </w:r>
          </w:p>
        </w:tc>
        <w:tc>
          <w:tcPr>
            <w:tcW w:w="3118" w:type="dxa"/>
            <w:tcBorders>
              <w:bottom w:val="single" w:color="000000" w:sz="12" w:space="0"/>
            </w:tcBorders>
            <w:shd w:val="clear" w:color="auto" w:fill="FFFFFF"/>
            <w:vAlign w:val="center"/>
          </w:tcPr>
          <w:p>
            <w:pPr>
              <w:keepNext w:val="0"/>
              <w:keepLines w:val="0"/>
              <w:pageBreakBefore w:val="0"/>
              <w:widowControl/>
              <w:kinsoku/>
              <w:wordWrap/>
              <w:overflowPunct w:val="0"/>
              <w:topLinePunct w:val="0"/>
              <w:autoSpaceDE/>
              <w:autoSpaceDN/>
              <w:bidi w:val="0"/>
              <w:adjustRightInd/>
              <w:snapToGrid/>
              <w:spacing w:line="320" w:lineRule="exact"/>
              <w:jc w:val="right"/>
              <w:textAlignment w:val="center"/>
              <w:rPr>
                <w:rFonts w:hint="default" w:ascii="Times New Roman" w:hAnsi="Times New Roman" w:cs="Times New Roman"/>
                <w:sz w:val="22"/>
              </w:rPr>
            </w:pPr>
            <w:r>
              <w:rPr>
                <w:rFonts w:hint="default" w:ascii="Times New Roman" w:hAnsi="Times New Roman" w:cs="Times New Roman"/>
                <w:sz w:val="22"/>
              </w:rPr>
              <w:t xml:space="preserve">0.2 </w:t>
            </w:r>
          </w:p>
        </w:tc>
      </w:tr>
    </w:tbl>
    <w:p>
      <w:pPr>
        <w:keepNext w:val="0"/>
        <w:keepLines w:val="0"/>
        <w:pageBreakBefore w:val="0"/>
        <w:shd w:val="clear" w:color="auto" w:fill="FFFFFF"/>
        <w:kinsoku/>
        <w:wordWrap/>
        <w:overflowPunct w:val="0"/>
        <w:topLinePunct w:val="0"/>
        <w:autoSpaceDE/>
        <w:autoSpaceDN/>
        <w:bidi w:val="0"/>
        <w:adjustRightInd/>
        <w:spacing w:before="156" w:beforeLines="50"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全年房地产开发投资</w:t>
      </w:r>
      <w:r>
        <w:rPr>
          <w:rFonts w:hint="default" w:ascii="Times New Roman" w:hAnsi="Times New Roman" w:eastAsia="方正仿宋简体" w:cs="Times New Roman"/>
          <w:sz w:val="32"/>
          <w:szCs w:val="32"/>
          <w:lang w:val="en-US" w:eastAsia="zh-CN"/>
        </w:rPr>
        <w:t>4309.93</w:t>
      </w:r>
      <w:r>
        <w:rPr>
          <w:rFonts w:hint="default" w:ascii="Times New Roman" w:hAnsi="Times New Roman" w:eastAsia="方正仿宋简体" w:cs="Times New Roman"/>
          <w:sz w:val="32"/>
          <w:szCs w:val="32"/>
        </w:rPr>
        <w:t>亿元，比上年</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4.3</w:t>
      </w:r>
      <w:r>
        <w:rPr>
          <w:rFonts w:hint="default" w:ascii="Times New Roman" w:hAnsi="Times New Roman" w:eastAsia="方正仿宋简体" w:cs="Times New Roman"/>
          <w:sz w:val="32"/>
          <w:szCs w:val="32"/>
        </w:rPr>
        <w:t>%，其中，商品住宅投资</w:t>
      </w:r>
      <w:r>
        <w:rPr>
          <w:rFonts w:hint="default" w:ascii="Times New Roman" w:hAnsi="Times New Roman" w:eastAsia="方正仿宋简体" w:cs="Times New Roman"/>
          <w:sz w:val="32"/>
          <w:szCs w:val="32"/>
          <w:lang w:val="en-US" w:eastAsia="zh-CN"/>
        </w:rPr>
        <w:t>3175.11</w:t>
      </w:r>
      <w:r>
        <w:rPr>
          <w:rFonts w:hint="default" w:ascii="Times New Roman" w:hAnsi="Times New Roman" w:eastAsia="方正仿宋简体" w:cs="Times New Roman"/>
          <w:sz w:val="32"/>
          <w:szCs w:val="32"/>
        </w:rPr>
        <w:t>亿元，</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4.3</w:t>
      </w:r>
      <w:r>
        <w:rPr>
          <w:rFonts w:hint="default" w:ascii="Times New Roman" w:hAnsi="Times New Roman" w:eastAsia="方正仿宋简体" w:cs="Times New Roman"/>
          <w:sz w:val="32"/>
          <w:szCs w:val="32"/>
        </w:rPr>
        <w:t>%；办公楼投资</w:t>
      </w:r>
      <w:r>
        <w:rPr>
          <w:rFonts w:hint="default" w:ascii="Times New Roman" w:hAnsi="Times New Roman" w:eastAsia="方正仿宋简体" w:cs="Times New Roman"/>
          <w:sz w:val="32"/>
          <w:szCs w:val="32"/>
          <w:lang w:val="en-US" w:eastAsia="zh-CN"/>
        </w:rPr>
        <w:t>174.99</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US" w:eastAsia="zh-CN"/>
        </w:rPr>
        <w:t>14.3</w:t>
      </w:r>
      <w:r>
        <w:rPr>
          <w:rFonts w:hint="default" w:ascii="Times New Roman" w:hAnsi="Times New Roman" w:eastAsia="方正仿宋简体" w:cs="Times New Roman"/>
          <w:sz w:val="32"/>
          <w:szCs w:val="32"/>
        </w:rPr>
        <w:t>%；商业营业用房投资</w:t>
      </w:r>
      <w:r>
        <w:rPr>
          <w:rFonts w:hint="default" w:ascii="Times New Roman" w:hAnsi="Times New Roman" w:eastAsia="方正仿宋简体" w:cs="Times New Roman"/>
          <w:sz w:val="32"/>
          <w:szCs w:val="32"/>
          <w:lang w:val="en-US" w:eastAsia="zh-CN"/>
        </w:rPr>
        <w:t>427.74</w:t>
      </w:r>
      <w:r>
        <w:rPr>
          <w:rFonts w:hint="default" w:ascii="Times New Roman" w:hAnsi="Times New Roman" w:eastAsia="方正仿宋简体" w:cs="Times New Roman"/>
          <w:sz w:val="32"/>
          <w:szCs w:val="32"/>
        </w:rPr>
        <w:t>亿元，下降</w:t>
      </w:r>
      <w:r>
        <w:rPr>
          <w:rFonts w:hint="default" w:ascii="Times New Roman" w:hAnsi="Times New Roman" w:eastAsia="方正仿宋简体" w:cs="Times New Roman"/>
          <w:sz w:val="32"/>
          <w:szCs w:val="32"/>
          <w:lang w:val="en-US" w:eastAsia="zh-CN"/>
        </w:rPr>
        <w:t>13.5</w:t>
      </w:r>
      <w:r>
        <w:rPr>
          <w:rFonts w:hint="default" w:ascii="Times New Roman" w:hAnsi="Times New Roman" w:eastAsia="方正仿宋简体" w:cs="Times New Roman"/>
          <w:sz w:val="32"/>
          <w:szCs w:val="32"/>
        </w:rPr>
        <w:t>%。</w:t>
      </w:r>
    </w:p>
    <w:p>
      <w:pPr>
        <w:keepNext w:val="0"/>
        <w:keepLines w:val="0"/>
        <w:pageBreakBefore w:val="0"/>
        <w:shd w:val="clear" w:color="auto" w:fill="FFFFFF"/>
        <w:kinsoku/>
        <w:wordWrap/>
        <w:overflowPunct w:val="0"/>
        <w:topLinePunct w:val="0"/>
        <w:autoSpaceDE/>
        <w:autoSpaceDN/>
        <w:bidi w:val="0"/>
        <w:adjustRightInd/>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全年商品房施工面积</w:t>
      </w:r>
      <w:r>
        <w:rPr>
          <w:rFonts w:hint="default" w:ascii="Times New Roman" w:hAnsi="Times New Roman" w:eastAsia="方正仿宋简体" w:cs="Times New Roman"/>
          <w:sz w:val="32"/>
          <w:szCs w:val="32"/>
          <w:lang w:val="en-US" w:eastAsia="zh-CN"/>
        </w:rPr>
        <w:t>29148.14</w:t>
      </w:r>
      <w:r>
        <w:rPr>
          <w:rFonts w:hint="default" w:ascii="Times New Roman" w:hAnsi="Times New Roman" w:eastAsia="方正仿宋简体" w:cs="Times New Roman"/>
          <w:sz w:val="32"/>
          <w:szCs w:val="32"/>
        </w:rPr>
        <w:t>万平方米，比上年</w:t>
      </w:r>
      <w:r>
        <w:rPr>
          <w:rFonts w:hint="default" w:ascii="Times New Roman" w:hAnsi="Times New Roman" w:eastAsia="方正仿宋简体" w:cs="Times New Roman"/>
          <w:sz w:val="32"/>
          <w:szCs w:val="32"/>
          <w:lang w:eastAsia="zh-CN"/>
        </w:rPr>
        <w:t>增长</w:t>
      </w:r>
      <w:r>
        <w:rPr>
          <w:rFonts w:hint="default" w:ascii="Times New Roman" w:hAnsi="Times New Roman" w:eastAsia="方正仿宋简体" w:cs="Times New Roman"/>
          <w:sz w:val="32"/>
          <w:szCs w:val="32"/>
          <w:lang w:val="en-US" w:eastAsia="zh-CN"/>
        </w:rPr>
        <w:t>13.0</w:t>
      </w:r>
      <w:r>
        <w:rPr>
          <w:rFonts w:hint="default" w:ascii="Times New Roman" w:hAnsi="Times New Roman" w:eastAsia="方正仿宋简体" w:cs="Times New Roman"/>
          <w:sz w:val="32"/>
          <w:szCs w:val="32"/>
        </w:rPr>
        <w:t>%；商品房屋竣工面积</w:t>
      </w:r>
      <w:r>
        <w:rPr>
          <w:rFonts w:hint="default" w:ascii="Times New Roman" w:hAnsi="Times New Roman" w:eastAsia="方正仿宋简体" w:cs="Times New Roman"/>
          <w:sz w:val="32"/>
          <w:szCs w:val="32"/>
          <w:lang w:val="en-US" w:eastAsia="zh-CN"/>
        </w:rPr>
        <w:t>2540.97</w:t>
      </w:r>
      <w:r>
        <w:rPr>
          <w:rFonts w:hint="default" w:ascii="Times New Roman" w:hAnsi="Times New Roman" w:eastAsia="方正仿宋简体" w:cs="Times New Roman"/>
          <w:sz w:val="32"/>
          <w:szCs w:val="32"/>
        </w:rPr>
        <w:t>万平方米，</w:t>
      </w:r>
      <w:r>
        <w:rPr>
          <w:rFonts w:hint="default" w:ascii="Times New Roman" w:hAnsi="Times New Roman" w:eastAsia="方正仿宋简体" w:cs="Times New Roman"/>
          <w:sz w:val="32"/>
          <w:szCs w:val="32"/>
          <w:lang w:eastAsia="zh-CN"/>
        </w:rPr>
        <w:t>增长</w:t>
      </w:r>
      <w:r>
        <w:rPr>
          <w:rFonts w:hint="default" w:ascii="Times New Roman" w:hAnsi="Times New Roman" w:eastAsia="方正仿宋简体" w:cs="Times New Roman"/>
          <w:sz w:val="32"/>
          <w:szCs w:val="32"/>
          <w:lang w:val="en-US" w:eastAsia="zh-CN"/>
        </w:rPr>
        <w:t>55.1</w:t>
      </w:r>
      <w:r>
        <w:rPr>
          <w:rFonts w:hint="default" w:ascii="Times New Roman" w:hAnsi="Times New Roman" w:eastAsia="方正仿宋简体" w:cs="Times New Roman"/>
          <w:sz w:val="32"/>
          <w:szCs w:val="32"/>
        </w:rPr>
        <w:t>%；商品房销售面积</w:t>
      </w:r>
      <w:r>
        <w:rPr>
          <w:rFonts w:hint="default" w:ascii="Times New Roman" w:hAnsi="Times New Roman" w:eastAsia="方正仿宋简体" w:cs="Times New Roman"/>
          <w:sz w:val="32"/>
          <w:szCs w:val="32"/>
          <w:lang w:val="en-US" w:eastAsia="zh-CN"/>
        </w:rPr>
        <w:t>3880.84</w:t>
      </w:r>
      <w:r>
        <w:rPr>
          <w:rFonts w:hint="default" w:ascii="Times New Roman" w:hAnsi="Times New Roman" w:eastAsia="方正仿宋简体" w:cs="Times New Roman"/>
          <w:sz w:val="32"/>
          <w:szCs w:val="32"/>
        </w:rPr>
        <w:t>万平方米，</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20.1</w:t>
      </w:r>
      <w:r>
        <w:rPr>
          <w:rFonts w:hint="default" w:ascii="Times New Roman" w:hAnsi="Times New Roman" w:eastAsia="方正仿宋简体" w:cs="Times New Roman"/>
          <w:sz w:val="32"/>
          <w:szCs w:val="32"/>
        </w:rPr>
        <w:t>%；商品房销售额</w:t>
      </w:r>
      <w:r>
        <w:rPr>
          <w:rFonts w:hint="default" w:ascii="Times New Roman" w:hAnsi="Times New Roman" w:eastAsia="方正仿宋简体" w:cs="Times New Roman"/>
          <w:sz w:val="32"/>
          <w:szCs w:val="32"/>
          <w:lang w:val="en-US" w:eastAsia="zh-CN"/>
        </w:rPr>
        <w:t>2962.52</w:t>
      </w:r>
      <w:r>
        <w:rPr>
          <w:rFonts w:hint="default" w:ascii="Times New Roman" w:hAnsi="Times New Roman" w:eastAsia="方正仿宋简体" w:cs="Times New Roman"/>
          <w:sz w:val="32"/>
          <w:szCs w:val="32"/>
        </w:rPr>
        <w:t>亿元，</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25.4</w:t>
      </w:r>
      <w:r>
        <w:rPr>
          <w:rFonts w:hint="default" w:ascii="Times New Roman" w:hAnsi="Times New Roman" w:eastAsia="方正仿宋简体" w:cs="Times New Roman"/>
          <w:sz w:val="32"/>
          <w:szCs w:val="32"/>
        </w:rPr>
        <w:t>%。</w:t>
      </w:r>
    </w:p>
    <w:p>
      <w:pPr>
        <w:keepNext w:val="0"/>
        <w:keepLines w:val="0"/>
        <w:pageBreakBefore w:val="0"/>
        <w:kinsoku/>
        <w:wordWrap/>
        <w:overflowPunct w:val="0"/>
        <w:topLinePunct w:val="0"/>
        <w:autoSpaceDE/>
        <w:autoSpaceDN/>
        <w:bidi w:val="0"/>
        <w:adjustRightInd/>
        <w:spacing w:line="560" w:lineRule="exact"/>
        <w:ind w:firstLine="560" w:firstLineChars="200"/>
        <w:jc w:val="center"/>
        <w:rPr>
          <w:rFonts w:hint="default" w:ascii="Times New Roman" w:hAnsi="Times New Roman" w:eastAsia="方正黑体简体" w:cs="Times New Roman"/>
          <w:bCs/>
          <w:kern w:val="0"/>
          <w:sz w:val="28"/>
          <w:szCs w:val="28"/>
        </w:rPr>
      </w:pPr>
      <w:r>
        <w:rPr>
          <w:rFonts w:hint="default" w:ascii="Times New Roman" w:hAnsi="Times New Roman" w:eastAsia="方正黑体简体" w:cs="Times New Roman"/>
          <w:bCs/>
          <w:kern w:val="0"/>
          <w:sz w:val="28"/>
          <w:szCs w:val="28"/>
        </w:rPr>
        <w:t>表5  202</w:t>
      </w:r>
      <w:r>
        <w:rPr>
          <w:rFonts w:hint="default" w:ascii="Times New Roman" w:hAnsi="Times New Roman" w:eastAsia="方正黑体简体" w:cs="Times New Roman"/>
          <w:bCs/>
          <w:kern w:val="0"/>
          <w:sz w:val="28"/>
          <w:szCs w:val="28"/>
          <w:lang w:val="en-US" w:eastAsia="zh-CN"/>
        </w:rPr>
        <w:t>1</w:t>
      </w:r>
      <w:r>
        <w:rPr>
          <w:rFonts w:hint="default" w:ascii="Times New Roman" w:hAnsi="Times New Roman" w:eastAsia="方正黑体简体" w:cs="Times New Roman"/>
          <w:bCs/>
          <w:kern w:val="0"/>
          <w:sz w:val="28"/>
          <w:szCs w:val="28"/>
        </w:rPr>
        <w:t>年云南房地产业发展主要指标情况</w:t>
      </w:r>
    </w:p>
    <w:tbl>
      <w:tblPr>
        <w:tblStyle w:val="13"/>
        <w:tblW w:w="8540" w:type="dxa"/>
        <w:jc w:val="right"/>
        <w:tblLayout w:type="fixed"/>
        <w:tblCellMar>
          <w:top w:w="0" w:type="dxa"/>
          <w:left w:w="17" w:type="dxa"/>
          <w:bottom w:w="0" w:type="dxa"/>
          <w:right w:w="74" w:type="dxa"/>
        </w:tblCellMar>
      </w:tblPr>
      <w:tblGrid>
        <w:gridCol w:w="3427"/>
        <w:gridCol w:w="1338"/>
        <w:gridCol w:w="1819"/>
        <w:gridCol w:w="1956"/>
      </w:tblGrid>
      <w:tr>
        <w:tblPrEx>
          <w:tblCellMar>
            <w:top w:w="0" w:type="dxa"/>
            <w:left w:w="17" w:type="dxa"/>
            <w:bottom w:w="0" w:type="dxa"/>
            <w:right w:w="74" w:type="dxa"/>
          </w:tblCellMar>
        </w:tblPrEx>
        <w:trPr>
          <w:trHeight w:val="463" w:hRule="atLeast"/>
          <w:tblHeader/>
          <w:jc w:val="right"/>
        </w:trPr>
        <w:tc>
          <w:tcPr>
            <w:tcW w:w="3427" w:type="dxa"/>
            <w:tcBorders>
              <w:top w:val="single" w:color="auto" w:sz="12"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指  标</w:t>
            </w:r>
          </w:p>
        </w:tc>
        <w:tc>
          <w:tcPr>
            <w:tcW w:w="1338" w:type="dxa"/>
            <w:tcBorders>
              <w:top w:val="single" w:color="auto" w:sz="12"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单  位</w:t>
            </w:r>
          </w:p>
        </w:tc>
        <w:tc>
          <w:tcPr>
            <w:tcW w:w="1819" w:type="dxa"/>
            <w:tcBorders>
              <w:top w:val="single" w:color="auto" w:sz="12"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绝对数</w:t>
            </w:r>
          </w:p>
        </w:tc>
        <w:tc>
          <w:tcPr>
            <w:tcW w:w="1956" w:type="dxa"/>
            <w:tcBorders>
              <w:top w:val="single" w:color="auto" w:sz="12" w:space="0"/>
              <w:left w:val="single" w:color="auto" w:sz="4" w:space="0"/>
              <w:bottom w:val="single" w:color="auto" w:sz="4" w:space="0"/>
              <w:right w:val="nil"/>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比上年增长（%）</w:t>
            </w:r>
          </w:p>
        </w:tc>
      </w:tr>
      <w:tr>
        <w:tblPrEx>
          <w:tblCellMar>
            <w:top w:w="0" w:type="dxa"/>
            <w:left w:w="17" w:type="dxa"/>
            <w:bottom w:w="0" w:type="dxa"/>
            <w:right w:w="74" w:type="dxa"/>
          </w:tblCellMar>
        </w:tblPrEx>
        <w:trPr>
          <w:trHeight w:val="340" w:hRule="atLeast"/>
          <w:jc w:val="right"/>
        </w:trPr>
        <w:tc>
          <w:tcPr>
            <w:tcW w:w="3427" w:type="dxa"/>
            <w:tcBorders>
              <w:top w:val="single" w:color="auto" w:sz="4" w:space="0"/>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房地产开发投资额</w:t>
            </w:r>
          </w:p>
        </w:tc>
        <w:tc>
          <w:tcPr>
            <w:tcW w:w="1338" w:type="dxa"/>
            <w:tcBorders>
              <w:top w:val="single" w:color="auto" w:sz="4" w:space="0"/>
              <w:left w:val="nil"/>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亿元</w:t>
            </w:r>
          </w:p>
        </w:tc>
        <w:tc>
          <w:tcPr>
            <w:tcW w:w="1819" w:type="dxa"/>
            <w:tcBorders>
              <w:top w:val="single" w:color="auto" w:sz="4" w:space="0"/>
              <w:left w:val="nil"/>
              <w:right w:val="single" w:color="000000" w:sz="4"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rPr>
            </w:pPr>
            <w:r>
              <w:rPr>
                <w:rFonts w:hint="default" w:ascii="Times New Roman" w:hAnsi="Times New Roman" w:cs="Times New Roman"/>
                <w:sz w:val="22"/>
              </w:rPr>
              <w:t>4309.93</w:t>
            </w:r>
          </w:p>
        </w:tc>
        <w:tc>
          <w:tcPr>
            <w:tcW w:w="1956" w:type="dxa"/>
            <w:tcBorders>
              <w:top w:val="single" w:color="auto" w:sz="4" w:space="0"/>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-4.3</w:t>
            </w:r>
          </w:p>
        </w:tc>
      </w:tr>
      <w:tr>
        <w:tblPrEx>
          <w:tblCellMar>
            <w:top w:w="0" w:type="dxa"/>
            <w:left w:w="17" w:type="dxa"/>
            <w:bottom w:w="0" w:type="dxa"/>
            <w:right w:w="74" w:type="dxa"/>
          </w:tblCellMar>
        </w:tblPrEx>
        <w:trPr>
          <w:trHeight w:val="340" w:hRule="atLeast"/>
          <w:jc w:val="right"/>
        </w:trPr>
        <w:tc>
          <w:tcPr>
            <w:tcW w:w="3427"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其中：住宅</w:t>
            </w:r>
          </w:p>
        </w:tc>
        <w:tc>
          <w:tcPr>
            <w:tcW w:w="1338" w:type="dxa"/>
            <w:tcBorders>
              <w:left w:val="nil"/>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亿元</w:t>
            </w:r>
          </w:p>
        </w:tc>
        <w:tc>
          <w:tcPr>
            <w:tcW w:w="1819" w:type="dxa"/>
            <w:tcBorders>
              <w:left w:val="nil"/>
              <w:right w:val="single" w:color="000000" w:sz="4"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rPr>
            </w:pPr>
            <w:r>
              <w:rPr>
                <w:rFonts w:hint="default" w:ascii="Times New Roman" w:hAnsi="Times New Roman" w:cs="Times New Roman"/>
                <w:sz w:val="22"/>
                <w:lang w:val="en-US" w:eastAsia="zh-CN"/>
              </w:rPr>
              <w:t>3175.11</w:t>
            </w:r>
          </w:p>
        </w:tc>
        <w:tc>
          <w:tcPr>
            <w:tcW w:w="1956" w:type="dxa"/>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eastAsia="zh-CN"/>
              </w:rPr>
            </w:pPr>
            <w:r>
              <w:rPr>
                <w:rFonts w:hint="default" w:ascii="Times New Roman" w:hAnsi="Times New Roman" w:cs="Times New Roman"/>
                <w:sz w:val="22"/>
                <w:lang w:val="en-US" w:eastAsia="zh-CN"/>
              </w:rPr>
              <w:t>-4.3</w:t>
            </w:r>
          </w:p>
        </w:tc>
      </w:tr>
      <w:tr>
        <w:tblPrEx>
          <w:tblCellMar>
            <w:top w:w="0" w:type="dxa"/>
            <w:left w:w="17" w:type="dxa"/>
            <w:bottom w:w="0" w:type="dxa"/>
            <w:right w:w="74" w:type="dxa"/>
          </w:tblCellMar>
        </w:tblPrEx>
        <w:trPr>
          <w:trHeight w:val="340" w:hRule="atLeast"/>
          <w:jc w:val="right"/>
        </w:trPr>
        <w:tc>
          <w:tcPr>
            <w:tcW w:w="3427"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其中：90平方米以下住宅</w:t>
            </w:r>
          </w:p>
        </w:tc>
        <w:tc>
          <w:tcPr>
            <w:tcW w:w="1338" w:type="dxa"/>
            <w:tcBorders>
              <w:left w:val="nil"/>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亿元</w:t>
            </w:r>
          </w:p>
        </w:tc>
        <w:tc>
          <w:tcPr>
            <w:tcW w:w="1819" w:type="dxa"/>
            <w:tcBorders>
              <w:left w:val="nil"/>
              <w:right w:val="single" w:color="000000" w:sz="4"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rPr>
            </w:pPr>
            <w:r>
              <w:rPr>
                <w:rFonts w:hint="default" w:ascii="Times New Roman" w:hAnsi="Times New Roman" w:cs="Times New Roman"/>
                <w:sz w:val="22"/>
                <w:lang w:val="en-US" w:eastAsia="zh-CN"/>
              </w:rPr>
              <w:t>511.74</w:t>
            </w:r>
          </w:p>
        </w:tc>
        <w:tc>
          <w:tcPr>
            <w:tcW w:w="1956" w:type="dxa"/>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eastAsia="zh-CN"/>
              </w:rPr>
            </w:pPr>
            <w:r>
              <w:rPr>
                <w:rFonts w:hint="default" w:ascii="Times New Roman" w:hAnsi="Times New Roman" w:cs="Times New Roman"/>
                <w:sz w:val="22"/>
                <w:lang w:val="en-US" w:eastAsia="zh-CN"/>
              </w:rPr>
              <w:t>-9.1</w:t>
            </w:r>
          </w:p>
        </w:tc>
      </w:tr>
      <w:tr>
        <w:tblPrEx>
          <w:tblCellMar>
            <w:top w:w="0" w:type="dxa"/>
            <w:left w:w="17" w:type="dxa"/>
            <w:bottom w:w="0" w:type="dxa"/>
            <w:right w:w="74" w:type="dxa"/>
          </w:tblCellMar>
        </w:tblPrEx>
        <w:trPr>
          <w:trHeight w:val="340" w:hRule="atLeast"/>
          <w:jc w:val="right"/>
        </w:trPr>
        <w:tc>
          <w:tcPr>
            <w:tcW w:w="3427"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房屋施工面积</w:t>
            </w:r>
          </w:p>
        </w:tc>
        <w:tc>
          <w:tcPr>
            <w:tcW w:w="1338" w:type="dxa"/>
            <w:tcBorders>
              <w:left w:val="nil"/>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19" w:type="dxa"/>
            <w:tcBorders>
              <w:left w:val="nil"/>
              <w:right w:val="single" w:color="000000" w:sz="4"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rPr>
            </w:pPr>
            <w:r>
              <w:rPr>
                <w:rFonts w:hint="default" w:ascii="Times New Roman" w:hAnsi="Times New Roman" w:cs="Times New Roman"/>
                <w:sz w:val="22"/>
                <w:lang w:val="en-US" w:eastAsia="zh-CN"/>
              </w:rPr>
              <w:t>29148.14</w:t>
            </w:r>
          </w:p>
        </w:tc>
        <w:tc>
          <w:tcPr>
            <w:tcW w:w="1956" w:type="dxa"/>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eastAsia="zh-CN"/>
              </w:rPr>
            </w:pPr>
            <w:r>
              <w:rPr>
                <w:rFonts w:hint="default" w:ascii="Times New Roman" w:hAnsi="Times New Roman" w:cs="Times New Roman"/>
                <w:sz w:val="22"/>
                <w:lang w:val="en-US" w:eastAsia="zh-CN"/>
              </w:rPr>
              <w:t>13.0</w:t>
            </w:r>
          </w:p>
        </w:tc>
      </w:tr>
      <w:tr>
        <w:tblPrEx>
          <w:tblCellMar>
            <w:top w:w="0" w:type="dxa"/>
            <w:left w:w="17" w:type="dxa"/>
            <w:bottom w:w="0" w:type="dxa"/>
            <w:right w:w="74" w:type="dxa"/>
          </w:tblCellMar>
        </w:tblPrEx>
        <w:trPr>
          <w:trHeight w:val="340" w:hRule="atLeast"/>
          <w:jc w:val="right"/>
        </w:trPr>
        <w:tc>
          <w:tcPr>
            <w:tcW w:w="3427" w:type="dxa"/>
            <w:tcBorders>
              <w:bottom w:val="nil"/>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其中：住宅</w:t>
            </w:r>
          </w:p>
        </w:tc>
        <w:tc>
          <w:tcPr>
            <w:tcW w:w="1338" w:type="dxa"/>
            <w:tcBorders>
              <w:left w:val="nil"/>
              <w:bottom w:val="nil"/>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19" w:type="dxa"/>
            <w:tcBorders>
              <w:left w:val="nil"/>
              <w:bottom w:val="nil"/>
              <w:right w:val="single" w:color="000000" w:sz="4"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rPr>
            </w:pPr>
            <w:r>
              <w:rPr>
                <w:rFonts w:hint="default" w:ascii="Times New Roman" w:hAnsi="Times New Roman" w:cs="Times New Roman"/>
                <w:sz w:val="22"/>
                <w:lang w:val="en-US" w:eastAsia="zh-CN"/>
              </w:rPr>
              <w:t>19720.94</w:t>
            </w:r>
          </w:p>
        </w:tc>
        <w:tc>
          <w:tcPr>
            <w:tcW w:w="1956" w:type="dxa"/>
            <w:tcBorders>
              <w:bottom w:val="nil"/>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eastAsia="zh-CN"/>
              </w:rPr>
            </w:pPr>
            <w:r>
              <w:rPr>
                <w:rFonts w:hint="default" w:ascii="Times New Roman" w:hAnsi="Times New Roman" w:cs="Times New Roman"/>
                <w:sz w:val="22"/>
                <w:lang w:val="en-US" w:eastAsia="zh-CN"/>
              </w:rPr>
              <w:t>12.8</w:t>
            </w:r>
          </w:p>
        </w:tc>
      </w:tr>
      <w:tr>
        <w:tblPrEx>
          <w:tblCellMar>
            <w:top w:w="0" w:type="dxa"/>
            <w:left w:w="17" w:type="dxa"/>
            <w:bottom w:w="0" w:type="dxa"/>
            <w:right w:w="74" w:type="dxa"/>
          </w:tblCellMar>
        </w:tblPrEx>
        <w:trPr>
          <w:trHeight w:val="340" w:hRule="atLeast"/>
          <w:jc w:val="right"/>
        </w:trPr>
        <w:tc>
          <w:tcPr>
            <w:tcW w:w="3427" w:type="dxa"/>
            <w:tcBorders>
              <w:top w:val="nil"/>
              <w:left w:val="nil"/>
              <w:bottom w:val="nil"/>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房屋新开工面积</w:t>
            </w:r>
          </w:p>
        </w:tc>
        <w:tc>
          <w:tcPr>
            <w:tcW w:w="1338" w:type="dxa"/>
            <w:tcBorders>
              <w:top w:val="nil"/>
              <w:left w:val="single" w:color="auto" w:sz="4" w:space="0"/>
              <w:bottom w:val="nil"/>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19" w:type="dxa"/>
            <w:tcBorders>
              <w:top w:val="nil"/>
              <w:left w:val="single" w:color="auto" w:sz="4" w:space="0"/>
              <w:bottom w:val="nil"/>
              <w:right w:val="single" w:color="auto" w:sz="4"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rPr>
            </w:pPr>
            <w:r>
              <w:rPr>
                <w:rFonts w:hint="default" w:ascii="Times New Roman" w:hAnsi="Times New Roman" w:cs="Times New Roman"/>
                <w:sz w:val="22"/>
                <w:lang w:val="en-US" w:eastAsia="zh-CN"/>
              </w:rPr>
              <w:t>6462.21</w:t>
            </w:r>
          </w:p>
        </w:tc>
        <w:tc>
          <w:tcPr>
            <w:tcW w:w="1956" w:type="dxa"/>
            <w:tcBorders>
              <w:top w:val="nil"/>
              <w:left w:val="single" w:color="auto" w:sz="4" w:space="0"/>
              <w:bottom w:val="nil"/>
              <w:right w:val="nil"/>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eastAsia="zh-CN"/>
              </w:rPr>
            </w:pPr>
            <w:r>
              <w:rPr>
                <w:rFonts w:hint="default" w:ascii="Times New Roman" w:hAnsi="Times New Roman" w:cs="Times New Roman"/>
                <w:sz w:val="22"/>
                <w:lang w:val="en-US" w:eastAsia="zh-CN"/>
              </w:rPr>
              <w:t>-14.3</w:t>
            </w:r>
          </w:p>
        </w:tc>
      </w:tr>
      <w:tr>
        <w:tblPrEx>
          <w:tblCellMar>
            <w:top w:w="0" w:type="dxa"/>
            <w:left w:w="17" w:type="dxa"/>
            <w:bottom w:w="0" w:type="dxa"/>
            <w:right w:w="74" w:type="dxa"/>
          </w:tblCellMar>
        </w:tblPrEx>
        <w:trPr>
          <w:trHeight w:val="340" w:hRule="atLeast"/>
          <w:jc w:val="right"/>
        </w:trPr>
        <w:tc>
          <w:tcPr>
            <w:tcW w:w="3427" w:type="dxa"/>
            <w:tcBorders>
              <w:top w:val="nil"/>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其中：住宅</w:t>
            </w:r>
          </w:p>
        </w:tc>
        <w:tc>
          <w:tcPr>
            <w:tcW w:w="1338" w:type="dxa"/>
            <w:tcBorders>
              <w:top w:val="nil"/>
              <w:left w:val="nil"/>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19" w:type="dxa"/>
            <w:tcBorders>
              <w:top w:val="nil"/>
              <w:left w:val="nil"/>
              <w:right w:val="single" w:color="000000" w:sz="4"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rPr>
            </w:pPr>
            <w:r>
              <w:rPr>
                <w:rFonts w:hint="default" w:ascii="Times New Roman" w:hAnsi="Times New Roman" w:cs="Times New Roman"/>
                <w:sz w:val="22"/>
                <w:lang w:val="en-US" w:eastAsia="zh-CN"/>
              </w:rPr>
              <w:t>4578.33</w:t>
            </w:r>
          </w:p>
        </w:tc>
        <w:tc>
          <w:tcPr>
            <w:tcW w:w="1956" w:type="dxa"/>
            <w:tcBorders>
              <w:top w:val="nil"/>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eastAsia="zh-CN"/>
              </w:rPr>
            </w:pPr>
            <w:r>
              <w:rPr>
                <w:rFonts w:hint="default" w:ascii="Times New Roman" w:hAnsi="Times New Roman" w:cs="Times New Roman"/>
                <w:sz w:val="22"/>
                <w:lang w:val="en-US" w:eastAsia="zh-CN"/>
              </w:rPr>
              <w:t>-13.4</w:t>
            </w:r>
          </w:p>
        </w:tc>
      </w:tr>
      <w:tr>
        <w:tblPrEx>
          <w:tblCellMar>
            <w:top w:w="0" w:type="dxa"/>
            <w:left w:w="17" w:type="dxa"/>
            <w:bottom w:w="0" w:type="dxa"/>
            <w:right w:w="74" w:type="dxa"/>
          </w:tblCellMar>
        </w:tblPrEx>
        <w:trPr>
          <w:trHeight w:val="340" w:hRule="atLeast"/>
          <w:jc w:val="right"/>
        </w:trPr>
        <w:tc>
          <w:tcPr>
            <w:tcW w:w="3427"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房屋竣工面积</w:t>
            </w:r>
          </w:p>
        </w:tc>
        <w:tc>
          <w:tcPr>
            <w:tcW w:w="1338" w:type="dxa"/>
            <w:tcBorders>
              <w:left w:val="nil"/>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19" w:type="dxa"/>
            <w:tcBorders>
              <w:left w:val="nil"/>
              <w:right w:val="single" w:color="000000" w:sz="4"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rPr>
            </w:pPr>
            <w:r>
              <w:rPr>
                <w:rFonts w:hint="default" w:ascii="Times New Roman" w:hAnsi="Times New Roman" w:cs="Times New Roman"/>
                <w:sz w:val="22"/>
                <w:lang w:val="en-US" w:eastAsia="zh-CN"/>
              </w:rPr>
              <w:t>2540.97</w:t>
            </w:r>
          </w:p>
        </w:tc>
        <w:tc>
          <w:tcPr>
            <w:tcW w:w="1956" w:type="dxa"/>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eastAsia="zh-CN"/>
              </w:rPr>
            </w:pPr>
            <w:r>
              <w:rPr>
                <w:rFonts w:hint="default" w:ascii="Times New Roman" w:hAnsi="Times New Roman" w:cs="Times New Roman"/>
                <w:sz w:val="22"/>
                <w:lang w:val="en-US" w:eastAsia="zh-CN"/>
              </w:rPr>
              <w:t>55.1</w:t>
            </w:r>
          </w:p>
        </w:tc>
      </w:tr>
      <w:tr>
        <w:tblPrEx>
          <w:tblCellMar>
            <w:top w:w="0" w:type="dxa"/>
            <w:left w:w="17" w:type="dxa"/>
            <w:bottom w:w="0" w:type="dxa"/>
            <w:right w:w="74" w:type="dxa"/>
          </w:tblCellMar>
        </w:tblPrEx>
        <w:trPr>
          <w:trHeight w:val="340" w:hRule="atLeast"/>
          <w:jc w:val="right"/>
        </w:trPr>
        <w:tc>
          <w:tcPr>
            <w:tcW w:w="3427"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其中：住宅</w:t>
            </w:r>
          </w:p>
        </w:tc>
        <w:tc>
          <w:tcPr>
            <w:tcW w:w="1338" w:type="dxa"/>
            <w:tcBorders>
              <w:left w:val="nil"/>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19" w:type="dxa"/>
            <w:tcBorders>
              <w:left w:val="nil"/>
              <w:right w:val="single" w:color="000000" w:sz="4"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rPr>
            </w:pPr>
            <w:r>
              <w:rPr>
                <w:rFonts w:hint="default" w:ascii="Times New Roman" w:hAnsi="Times New Roman" w:cs="Times New Roman"/>
                <w:sz w:val="22"/>
                <w:lang w:val="en-US" w:eastAsia="zh-CN"/>
              </w:rPr>
              <w:t>1681.30</w:t>
            </w:r>
          </w:p>
        </w:tc>
        <w:tc>
          <w:tcPr>
            <w:tcW w:w="1956" w:type="dxa"/>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eastAsia="zh-CN"/>
              </w:rPr>
            </w:pPr>
            <w:r>
              <w:rPr>
                <w:rFonts w:hint="default" w:ascii="Times New Roman" w:hAnsi="Times New Roman" w:cs="Times New Roman"/>
                <w:sz w:val="22"/>
                <w:lang w:val="en-US" w:eastAsia="zh-CN"/>
              </w:rPr>
              <w:t>44.6</w:t>
            </w:r>
          </w:p>
        </w:tc>
      </w:tr>
      <w:tr>
        <w:tblPrEx>
          <w:tblCellMar>
            <w:top w:w="0" w:type="dxa"/>
            <w:left w:w="17" w:type="dxa"/>
            <w:bottom w:w="0" w:type="dxa"/>
            <w:right w:w="74" w:type="dxa"/>
          </w:tblCellMar>
        </w:tblPrEx>
        <w:trPr>
          <w:trHeight w:val="340" w:hRule="atLeast"/>
          <w:jc w:val="right"/>
        </w:trPr>
        <w:tc>
          <w:tcPr>
            <w:tcW w:w="3427"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商品房销售面积</w:t>
            </w:r>
          </w:p>
        </w:tc>
        <w:tc>
          <w:tcPr>
            <w:tcW w:w="1338" w:type="dxa"/>
            <w:tcBorders>
              <w:left w:val="nil"/>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19" w:type="dxa"/>
            <w:tcBorders>
              <w:left w:val="nil"/>
              <w:right w:val="single" w:color="000000" w:sz="4"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rPr>
            </w:pPr>
            <w:r>
              <w:rPr>
                <w:rFonts w:hint="default" w:ascii="Times New Roman" w:hAnsi="Times New Roman" w:cs="Times New Roman"/>
                <w:sz w:val="22"/>
                <w:lang w:val="en-US" w:eastAsia="zh-CN"/>
              </w:rPr>
              <w:t>3880.84</w:t>
            </w:r>
          </w:p>
        </w:tc>
        <w:tc>
          <w:tcPr>
            <w:tcW w:w="1956" w:type="dxa"/>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eastAsia="zh-CN"/>
              </w:rPr>
            </w:pPr>
            <w:r>
              <w:rPr>
                <w:rFonts w:hint="default" w:ascii="Times New Roman" w:hAnsi="Times New Roman" w:cs="Times New Roman"/>
                <w:sz w:val="22"/>
                <w:lang w:val="en-US" w:eastAsia="zh-CN"/>
              </w:rPr>
              <w:t>-20.1</w:t>
            </w:r>
          </w:p>
        </w:tc>
      </w:tr>
      <w:tr>
        <w:tblPrEx>
          <w:tblCellMar>
            <w:top w:w="0" w:type="dxa"/>
            <w:left w:w="17" w:type="dxa"/>
            <w:bottom w:w="0" w:type="dxa"/>
            <w:right w:w="74" w:type="dxa"/>
          </w:tblCellMar>
        </w:tblPrEx>
        <w:trPr>
          <w:trHeight w:val="340" w:hRule="atLeast"/>
          <w:jc w:val="right"/>
        </w:trPr>
        <w:tc>
          <w:tcPr>
            <w:tcW w:w="3427"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其中：住宅</w:t>
            </w:r>
          </w:p>
        </w:tc>
        <w:tc>
          <w:tcPr>
            <w:tcW w:w="1338" w:type="dxa"/>
            <w:tcBorders>
              <w:left w:val="nil"/>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19" w:type="dxa"/>
            <w:tcBorders>
              <w:left w:val="nil"/>
              <w:right w:val="single" w:color="000000" w:sz="4"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rPr>
            </w:pPr>
            <w:r>
              <w:rPr>
                <w:rFonts w:hint="default" w:ascii="Times New Roman" w:hAnsi="Times New Roman" w:cs="Times New Roman"/>
                <w:sz w:val="22"/>
                <w:lang w:val="en-US" w:eastAsia="zh-CN"/>
              </w:rPr>
              <w:t>3208.60</w:t>
            </w:r>
          </w:p>
        </w:tc>
        <w:tc>
          <w:tcPr>
            <w:tcW w:w="1956" w:type="dxa"/>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eastAsia="zh-CN"/>
              </w:rPr>
            </w:pPr>
            <w:r>
              <w:rPr>
                <w:rFonts w:hint="default" w:ascii="Times New Roman" w:hAnsi="Times New Roman" w:cs="Times New Roman"/>
                <w:sz w:val="22"/>
                <w:lang w:val="en-US" w:eastAsia="zh-CN"/>
              </w:rPr>
              <w:t>-23.2</w:t>
            </w:r>
          </w:p>
        </w:tc>
      </w:tr>
      <w:tr>
        <w:tblPrEx>
          <w:tblCellMar>
            <w:top w:w="0" w:type="dxa"/>
            <w:left w:w="17" w:type="dxa"/>
            <w:bottom w:w="0" w:type="dxa"/>
            <w:right w:w="74" w:type="dxa"/>
          </w:tblCellMar>
        </w:tblPrEx>
        <w:trPr>
          <w:trHeight w:val="340" w:hRule="atLeast"/>
          <w:jc w:val="right"/>
        </w:trPr>
        <w:tc>
          <w:tcPr>
            <w:tcW w:w="3427"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本年资金来源</w:t>
            </w:r>
          </w:p>
        </w:tc>
        <w:tc>
          <w:tcPr>
            <w:tcW w:w="1338" w:type="dxa"/>
            <w:tcBorders>
              <w:left w:val="nil"/>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亿元</w:t>
            </w:r>
          </w:p>
        </w:tc>
        <w:tc>
          <w:tcPr>
            <w:tcW w:w="1819" w:type="dxa"/>
            <w:tcBorders>
              <w:left w:val="nil"/>
              <w:right w:val="single" w:color="000000" w:sz="4"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rPr>
            </w:pPr>
            <w:r>
              <w:rPr>
                <w:rFonts w:hint="default" w:ascii="Times New Roman" w:hAnsi="Times New Roman" w:cs="Times New Roman"/>
                <w:sz w:val="22"/>
                <w:lang w:val="en-US" w:eastAsia="zh-CN"/>
              </w:rPr>
              <w:t>3749.53</w:t>
            </w:r>
          </w:p>
        </w:tc>
        <w:tc>
          <w:tcPr>
            <w:tcW w:w="1956" w:type="dxa"/>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eastAsia="zh-CN"/>
              </w:rPr>
            </w:pPr>
            <w:r>
              <w:rPr>
                <w:rFonts w:hint="default" w:ascii="Times New Roman" w:hAnsi="Times New Roman" w:cs="Times New Roman"/>
                <w:sz w:val="22"/>
                <w:lang w:val="en-US" w:eastAsia="zh-CN"/>
              </w:rPr>
              <w:t>-8.2</w:t>
            </w:r>
          </w:p>
        </w:tc>
      </w:tr>
      <w:tr>
        <w:tblPrEx>
          <w:tblCellMar>
            <w:top w:w="0" w:type="dxa"/>
            <w:left w:w="17" w:type="dxa"/>
            <w:bottom w:w="0" w:type="dxa"/>
            <w:right w:w="74" w:type="dxa"/>
          </w:tblCellMar>
        </w:tblPrEx>
        <w:trPr>
          <w:trHeight w:val="340" w:hRule="atLeast"/>
          <w:jc w:val="right"/>
        </w:trPr>
        <w:tc>
          <w:tcPr>
            <w:tcW w:w="3427"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其中：国内贷款</w:t>
            </w:r>
          </w:p>
        </w:tc>
        <w:tc>
          <w:tcPr>
            <w:tcW w:w="1338" w:type="dxa"/>
            <w:tcBorders>
              <w:left w:val="nil"/>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亿元</w:t>
            </w:r>
          </w:p>
        </w:tc>
        <w:tc>
          <w:tcPr>
            <w:tcW w:w="1819" w:type="dxa"/>
            <w:tcBorders>
              <w:left w:val="nil"/>
              <w:right w:val="single" w:color="000000" w:sz="4"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rPr>
            </w:pPr>
            <w:r>
              <w:rPr>
                <w:rFonts w:hint="default" w:ascii="Times New Roman" w:hAnsi="Times New Roman" w:cs="Times New Roman"/>
                <w:sz w:val="22"/>
                <w:lang w:val="en-US" w:eastAsia="zh-CN"/>
              </w:rPr>
              <w:t xml:space="preserve">240.39 </w:t>
            </w:r>
          </w:p>
        </w:tc>
        <w:tc>
          <w:tcPr>
            <w:tcW w:w="1956" w:type="dxa"/>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eastAsia="zh-CN"/>
              </w:rPr>
            </w:pPr>
            <w:r>
              <w:rPr>
                <w:rFonts w:hint="default" w:ascii="Times New Roman" w:hAnsi="Times New Roman" w:cs="Times New Roman"/>
                <w:sz w:val="22"/>
                <w:lang w:val="en-US" w:eastAsia="zh-CN"/>
              </w:rPr>
              <w:t>-18.5</w:t>
            </w:r>
          </w:p>
        </w:tc>
      </w:tr>
      <w:tr>
        <w:tblPrEx>
          <w:tblCellMar>
            <w:top w:w="0" w:type="dxa"/>
            <w:left w:w="17" w:type="dxa"/>
            <w:bottom w:w="0" w:type="dxa"/>
            <w:right w:w="74" w:type="dxa"/>
          </w:tblCellMar>
        </w:tblPrEx>
        <w:trPr>
          <w:trHeight w:val="340" w:hRule="atLeast"/>
          <w:jc w:val="right"/>
        </w:trPr>
        <w:tc>
          <w:tcPr>
            <w:tcW w:w="3427"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w:t>
            </w:r>
            <w:r>
              <w:rPr>
                <w:rFonts w:hint="default" w:ascii="Times New Roman" w:hAnsi="Times New Roman" w:cs="Times New Roman"/>
                <w:color w:val="000000"/>
                <w:kern w:val="0"/>
                <w:sz w:val="22"/>
                <w:lang w:val="en-US" w:eastAsia="zh-CN"/>
              </w:rPr>
              <w:t xml:space="preserve">        </w:t>
            </w:r>
            <w:r>
              <w:rPr>
                <w:rFonts w:hint="default" w:ascii="Times New Roman" w:hAnsi="Times New Roman" w:cs="Times New Roman"/>
                <w:color w:val="000000"/>
                <w:kern w:val="0"/>
                <w:sz w:val="22"/>
              </w:rPr>
              <w:t>个人按揭贷款</w:t>
            </w:r>
          </w:p>
        </w:tc>
        <w:tc>
          <w:tcPr>
            <w:tcW w:w="1338" w:type="dxa"/>
            <w:tcBorders>
              <w:left w:val="nil"/>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亿元</w:t>
            </w:r>
          </w:p>
        </w:tc>
        <w:tc>
          <w:tcPr>
            <w:tcW w:w="1819" w:type="dxa"/>
            <w:tcBorders>
              <w:left w:val="nil"/>
              <w:right w:val="single" w:color="000000" w:sz="4" w:space="0"/>
            </w:tcBorders>
            <w:shd w:val="clear" w:color="auto" w:fill="FFFFFF"/>
            <w:tcMar>
              <w:top w:w="17" w:type="dxa"/>
              <w:left w:w="17" w:type="dxa"/>
              <w:bottom w:w="17" w:type="dxa"/>
              <w:right w:w="567" w:type="dxa"/>
            </w:tcMar>
            <w:vAlign w:val="top"/>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eastAsia="宋体" w:cs="Times New Roman"/>
                <w:sz w:val="22"/>
                <w:lang w:val="en-US" w:eastAsia="zh-CN"/>
              </w:rPr>
            </w:pPr>
            <w:r>
              <w:rPr>
                <w:rFonts w:hint="default" w:ascii="Times New Roman" w:hAnsi="Times New Roman" w:cs="Times New Roman"/>
                <w:sz w:val="22"/>
              </w:rPr>
              <w:t>896</w:t>
            </w:r>
            <w:r>
              <w:rPr>
                <w:rFonts w:hint="default" w:ascii="Times New Roman" w:hAnsi="Times New Roman" w:cs="Times New Roman"/>
                <w:sz w:val="22"/>
                <w:lang w:val="en-US" w:eastAsia="zh-CN"/>
              </w:rPr>
              <w:t>.</w:t>
            </w:r>
            <w:r>
              <w:rPr>
                <w:rFonts w:hint="default" w:ascii="Times New Roman" w:hAnsi="Times New Roman" w:cs="Times New Roman"/>
                <w:sz w:val="22"/>
              </w:rPr>
              <w:t>3</w:t>
            </w:r>
            <w:r>
              <w:rPr>
                <w:rFonts w:hint="default" w:ascii="Times New Roman" w:hAnsi="Times New Roman" w:cs="Times New Roman"/>
                <w:sz w:val="22"/>
                <w:lang w:val="en-US" w:eastAsia="zh-CN"/>
              </w:rPr>
              <w:t>4</w:t>
            </w:r>
          </w:p>
        </w:tc>
        <w:tc>
          <w:tcPr>
            <w:tcW w:w="1956" w:type="dxa"/>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eastAsia="zh-CN"/>
              </w:rPr>
            </w:pPr>
            <w:r>
              <w:rPr>
                <w:rFonts w:hint="default" w:ascii="Times New Roman" w:hAnsi="Times New Roman" w:cs="Times New Roman"/>
                <w:sz w:val="22"/>
                <w:lang w:val="en-US" w:eastAsia="zh-CN"/>
              </w:rPr>
              <w:t>-8.0</w:t>
            </w:r>
          </w:p>
        </w:tc>
      </w:tr>
      <w:tr>
        <w:tblPrEx>
          <w:tblCellMar>
            <w:top w:w="0" w:type="dxa"/>
            <w:left w:w="17" w:type="dxa"/>
            <w:bottom w:w="0" w:type="dxa"/>
            <w:right w:w="74" w:type="dxa"/>
          </w:tblCellMar>
        </w:tblPrEx>
        <w:trPr>
          <w:trHeight w:val="340" w:hRule="atLeast"/>
          <w:jc w:val="right"/>
        </w:trPr>
        <w:tc>
          <w:tcPr>
            <w:tcW w:w="3427"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本年购置土地面积</w:t>
            </w:r>
          </w:p>
        </w:tc>
        <w:tc>
          <w:tcPr>
            <w:tcW w:w="1338" w:type="dxa"/>
            <w:tcBorders>
              <w:left w:val="nil"/>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19" w:type="dxa"/>
            <w:tcBorders>
              <w:left w:val="nil"/>
              <w:right w:val="single" w:color="000000" w:sz="4"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rPr>
            </w:pPr>
            <w:r>
              <w:rPr>
                <w:rFonts w:hint="default" w:ascii="Times New Roman" w:hAnsi="Times New Roman" w:cs="Times New Roman"/>
                <w:sz w:val="22"/>
                <w:lang w:val="en-US" w:eastAsia="zh-CN"/>
              </w:rPr>
              <w:t>525.73</w:t>
            </w:r>
          </w:p>
        </w:tc>
        <w:tc>
          <w:tcPr>
            <w:tcW w:w="1956" w:type="dxa"/>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eastAsia="zh-CN"/>
              </w:rPr>
            </w:pPr>
            <w:r>
              <w:rPr>
                <w:rFonts w:hint="default" w:ascii="Times New Roman" w:hAnsi="Times New Roman" w:cs="Times New Roman"/>
                <w:sz w:val="22"/>
                <w:lang w:val="en-US" w:eastAsia="zh-CN"/>
              </w:rPr>
              <w:t>-50.2</w:t>
            </w:r>
          </w:p>
        </w:tc>
      </w:tr>
      <w:tr>
        <w:tblPrEx>
          <w:tblCellMar>
            <w:top w:w="0" w:type="dxa"/>
            <w:left w:w="17" w:type="dxa"/>
            <w:bottom w:w="0" w:type="dxa"/>
            <w:right w:w="74" w:type="dxa"/>
          </w:tblCellMar>
        </w:tblPrEx>
        <w:trPr>
          <w:trHeight w:val="340" w:hRule="atLeast"/>
          <w:jc w:val="right"/>
        </w:trPr>
        <w:tc>
          <w:tcPr>
            <w:tcW w:w="3427" w:type="dxa"/>
            <w:tcBorders>
              <w:bottom w:val="single" w:color="auto" w:sz="12" w:space="0"/>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土地成交价款</w:t>
            </w:r>
          </w:p>
        </w:tc>
        <w:tc>
          <w:tcPr>
            <w:tcW w:w="1338" w:type="dxa"/>
            <w:tcBorders>
              <w:left w:val="nil"/>
              <w:bottom w:val="single" w:color="auto" w:sz="12" w:space="0"/>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亿元</w:t>
            </w:r>
          </w:p>
        </w:tc>
        <w:tc>
          <w:tcPr>
            <w:tcW w:w="1819" w:type="dxa"/>
            <w:tcBorders>
              <w:left w:val="nil"/>
              <w:bottom w:val="single" w:color="auto" w:sz="12" w:space="0"/>
              <w:right w:val="single" w:color="000000" w:sz="4"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rPr>
            </w:pPr>
            <w:r>
              <w:rPr>
                <w:rFonts w:hint="default" w:ascii="Times New Roman" w:hAnsi="Times New Roman" w:cs="Times New Roman"/>
                <w:sz w:val="22"/>
                <w:lang w:val="en-US" w:eastAsia="zh-CN"/>
              </w:rPr>
              <w:t xml:space="preserve">167.31 </w:t>
            </w:r>
          </w:p>
        </w:tc>
        <w:tc>
          <w:tcPr>
            <w:tcW w:w="1956" w:type="dxa"/>
            <w:tcBorders>
              <w:bottom w:val="single" w:color="auto" w:sz="12" w:space="0"/>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right"/>
              <w:rPr>
                <w:rFonts w:hint="default" w:ascii="Times New Roman" w:hAnsi="Times New Roman" w:cs="Times New Roman"/>
                <w:sz w:val="22"/>
                <w:lang w:val="en-US" w:eastAsia="zh-CN"/>
              </w:rPr>
            </w:pPr>
            <w:r>
              <w:rPr>
                <w:rFonts w:hint="default" w:ascii="Times New Roman" w:hAnsi="Times New Roman" w:cs="Times New Roman"/>
                <w:sz w:val="22"/>
                <w:lang w:val="en-US" w:eastAsia="zh-CN"/>
              </w:rPr>
              <w:t>-53.7</w:t>
            </w:r>
          </w:p>
        </w:tc>
      </w:tr>
    </w:tbl>
    <w:p>
      <w:pPr>
        <w:keepNext w:val="0"/>
        <w:keepLines w:val="0"/>
        <w:pageBreakBefore w:val="0"/>
        <w:shd w:val="clear" w:color="auto" w:fill="FFFFFF"/>
        <w:kinsoku/>
        <w:wordWrap/>
        <w:overflowPunct w:val="0"/>
        <w:topLinePunct w:val="0"/>
        <w:autoSpaceDE/>
        <w:autoSpaceDN/>
        <w:bidi w:val="0"/>
        <w:adjustRightInd/>
        <w:spacing w:before="312" w:beforeLines="100" w:after="156" w:afterLines="50" w:line="560" w:lineRule="exact"/>
        <w:jc w:val="center"/>
        <w:rPr>
          <w:rFonts w:hint="default" w:ascii="Times New Roman" w:hAnsi="Times New Roman" w:eastAsia="黑体" w:cs="Times New Roman"/>
          <w:bCs/>
          <w:sz w:val="32"/>
          <w:szCs w:val="32"/>
        </w:rPr>
      </w:pPr>
    </w:p>
    <w:p>
      <w:pPr>
        <w:keepNext w:val="0"/>
        <w:keepLines w:val="0"/>
        <w:pageBreakBefore w:val="0"/>
        <w:shd w:val="clear" w:color="auto" w:fill="FFFFFF"/>
        <w:kinsoku/>
        <w:wordWrap/>
        <w:overflowPunct w:val="0"/>
        <w:topLinePunct w:val="0"/>
        <w:autoSpaceDE/>
        <w:autoSpaceDN/>
        <w:bidi w:val="0"/>
        <w:adjustRightInd/>
        <w:spacing w:before="312" w:beforeLines="100" w:after="156" w:afterLines="50" w:line="560" w:lineRule="exact"/>
        <w:jc w:val="center"/>
        <w:rPr>
          <w:rFonts w:hint="default" w:ascii="Times New Roman" w:hAnsi="Times New Roman" w:eastAsia="黑体" w:cs="Times New Roman"/>
          <w:bCs/>
          <w:sz w:val="32"/>
          <w:szCs w:val="32"/>
        </w:rPr>
      </w:pPr>
    </w:p>
    <w:p>
      <w:pPr>
        <w:keepNext w:val="0"/>
        <w:keepLines w:val="0"/>
        <w:pageBreakBefore w:val="0"/>
        <w:shd w:val="clear" w:color="auto" w:fill="FFFFFF"/>
        <w:kinsoku/>
        <w:wordWrap/>
        <w:overflowPunct w:val="0"/>
        <w:topLinePunct w:val="0"/>
        <w:autoSpaceDE/>
        <w:autoSpaceDN/>
        <w:bidi w:val="0"/>
        <w:adjustRightInd/>
        <w:spacing w:before="312" w:beforeLines="100" w:after="156" w:afterLines="50" w:line="56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五、国内贸易和对外经济</w:t>
      </w:r>
    </w:p>
    <w:p>
      <w:pPr>
        <w:keepNext w:val="0"/>
        <w:keepLines w:val="0"/>
        <w:pageBreakBefore w:val="0"/>
        <w:kinsoku/>
        <w:wordWrap/>
        <w:overflowPunct w:val="0"/>
        <w:topLinePunct w:val="0"/>
        <w:autoSpaceDE/>
        <w:autoSpaceDN/>
        <w:bidi w:val="0"/>
        <w:adjustRightInd/>
        <w:spacing w:line="560" w:lineRule="exact"/>
        <w:ind w:firstLine="616"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pacing w:val="-6"/>
          <w:sz w:val="32"/>
          <w:szCs w:val="32"/>
        </w:rPr>
        <w:t>全年社会消费品零售总额</w:t>
      </w:r>
      <w:r>
        <w:rPr>
          <w:rFonts w:hint="default" w:ascii="Times New Roman" w:hAnsi="Times New Roman" w:eastAsia="方正仿宋简体" w:cs="Times New Roman"/>
          <w:spacing w:val="-6"/>
          <w:sz w:val="32"/>
          <w:szCs w:val="32"/>
          <w:lang w:val="en-US" w:eastAsia="zh-CN"/>
        </w:rPr>
        <w:t>10731.80</w:t>
      </w:r>
      <w:r>
        <w:rPr>
          <w:rFonts w:hint="default" w:ascii="Times New Roman" w:hAnsi="Times New Roman" w:eastAsia="方正仿宋简体" w:cs="Times New Roman"/>
          <w:spacing w:val="-6"/>
          <w:sz w:val="32"/>
          <w:szCs w:val="32"/>
        </w:rPr>
        <w:t>亿元，比上年</w:t>
      </w:r>
      <w:r>
        <w:rPr>
          <w:rFonts w:hint="default" w:ascii="Times New Roman" w:hAnsi="Times New Roman" w:eastAsia="方正仿宋简体" w:cs="Times New Roman"/>
          <w:spacing w:val="-6"/>
          <w:sz w:val="32"/>
          <w:szCs w:val="32"/>
          <w:lang w:eastAsia="zh-CN"/>
        </w:rPr>
        <w:t>增长</w:t>
      </w:r>
      <w:r>
        <w:rPr>
          <w:rFonts w:hint="default" w:ascii="Times New Roman" w:hAnsi="Times New Roman" w:eastAsia="方正仿宋简体" w:cs="Times New Roman"/>
          <w:spacing w:val="-6"/>
          <w:sz w:val="32"/>
          <w:szCs w:val="32"/>
          <w:lang w:val="en-US" w:eastAsia="zh-CN"/>
        </w:rPr>
        <w:t>9.6</w:t>
      </w:r>
      <w:r>
        <w:rPr>
          <w:rFonts w:hint="default" w:ascii="Times New Roman" w:hAnsi="Times New Roman" w:eastAsia="方正仿宋简体" w:cs="Times New Roman"/>
          <w:spacing w:val="-6"/>
          <w:sz w:val="32"/>
          <w:szCs w:val="32"/>
        </w:rPr>
        <w:t>%。</w:t>
      </w:r>
      <w:r>
        <w:rPr>
          <w:rFonts w:hint="eastAsia" w:ascii="Times New Roman" w:hAnsi="Times New Roman" w:eastAsia="方正仿宋简体" w:cs="Times New Roman"/>
          <w:spacing w:val="-6"/>
          <w:sz w:val="32"/>
          <w:szCs w:val="32"/>
          <w:lang w:eastAsia="zh-CN"/>
        </w:rPr>
        <w:t>分</w:t>
      </w:r>
      <w:r>
        <w:rPr>
          <w:rFonts w:hint="default" w:ascii="Times New Roman" w:hAnsi="Times New Roman" w:eastAsia="方正仿宋简体" w:cs="Times New Roman"/>
          <w:spacing w:val="-6"/>
          <w:sz w:val="32"/>
          <w:szCs w:val="32"/>
        </w:rPr>
        <w:t>经营地</w:t>
      </w:r>
      <w:r>
        <w:rPr>
          <w:rFonts w:hint="eastAsia" w:ascii="Times New Roman" w:hAnsi="Times New Roman" w:eastAsia="方正仿宋简体" w:cs="Times New Roman"/>
          <w:spacing w:val="-6"/>
          <w:sz w:val="32"/>
          <w:szCs w:val="32"/>
          <w:lang w:eastAsia="zh-CN"/>
        </w:rPr>
        <w:t>看</w:t>
      </w:r>
      <w:r>
        <w:rPr>
          <w:rFonts w:hint="default" w:ascii="Times New Roman" w:hAnsi="Times New Roman" w:eastAsia="方正仿宋简体" w:cs="Times New Roman"/>
          <w:spacing w:val="-6"/>
          <w:sz w:val="32"/>
          <w:szCs w:val="32"/>
        </w:rPr>
        <w:t>，城镇消费品零售额</w:t>
      </w:r>
      <w:r>
        <w:rPr>
          <w:rFonts w:hint="default" w:ascii="Times New Roman" w:hAnsi="Times New Roman" w:eastAsia="方正仿宋简体" w:cs="Times New Roman"/>
          <w:spacing w:val="-6"/>
          <w:sz w:val="32"/>
          <w:szCs w:val="32"/>
          <w:lang w:val="en-US" w:eastAsia="zh-CN"/>
        </w:rPr>
        <w:t>9345.38</w:t>
      </w:r>
      <w:r>
        <w:rPr>
          <w:rFonts w:hint="default" w:ascii="Times New Roman" w:hAnsi="Times New Roman" w:eastAsia="方正仿宋简体" w:cs="Times New Roman"/>
          <w:spacing w:val="-6"/>
          <w:sz w:val="32"/>
          <w:szCs w:val="32"/>
        </w:rPr>
        <w:t>亿元，</w:t>
      </w:r>
      <w:r>
        <w:rPr>
          <w:rFonts w:hint="default" w:ascii="Times New Roman" w:hAnsi="Times New Roman" w:eastAsia="方正仿宋简体" w:cs="Times New Roman"/>
          <w:spacing w:val="-6"/>
          <w:sz w:val="32"/>
          <w:szCs w:val="32"/>
          <w:lang w:eastAsia="zh-CN"/>
        </w:rPr>
        <w:t>增长</w:t>
      </w:r>
      <w:r>
        <w:rPr>
          <w:rFonts w:hint="default" w:ascii="Times New Roman" w:hAnsi="Times New Roman" w:eastAsia="方正仿宋简体" w:cs="Times New Roman"/>
          <w:spacing w:val="-6"/>
          <w:sz w:val="32"/>
          <w:szCs w:val="32"/>
          <w:lang w:val="en-US" w:eastAsia="zh-CN"/>
        </w:rPr>
        <w:t>9.6</w:t>
      </w:r>
      <w:r>
        <w:rPr>
          <w:rFonts w:hint="default" w:ascii="Times New Roman" w:hAnsi="Times New Roman" w:eastAsia="方正仿宋简体" w:cs="Times New Roman"/>
          <w:spacing w:val="-6"/>
          <w:sz w:val="32"/>
          <w:szCs w:val="32"/>
        </w:rPr>
        <w:t>%；乡村消费品零售额</w:t>
      </w:r>
      <w:r>
        <w:rPr>
          <w:rFonts w:hint="default" w:ascii="Times New Roman" w:hAnsi="Times New Roman" w:eastAsia="方正仿宋简体" w:cs="Times New Roman"/>
          <w:spacing w:val="-6"/>
          <w:sz w:val="32"/>
          <w:szCs w:val="32"/>
          <w:lang w:val="en-US" w:eastAsia="zh-CN"/>
        </w:rPr>
        <w:t>1386.42</w:t>
      </w:r>
      <w:r>
        <w:rPr>
          <w:rFonts w:hint="default" w:ascii="Times New Roman" w:hAnsi="Times New Roman" w:eastAsia="方正仿宋简体" w:cs="Times New Roman"/>
          <w:spacing w:val="-6"/>
          <w:sz w:val="32"/>
          <w:szCs w:val="32"/>
        </w:rPr>
        <w:t>亿元，</w:t>
      </w:r>
      <w:r>
        <w:rPr>
          <w:rFonts w:hint="default" w:ascii="Times New Roman" w:hAnsi="Times New Roman" w:eastAsia="方正仿宋简体" w:cs="Times New Roman"/>
          <w:spacing w:val="-6"/>
          <w:sz w:val="32"/>
          <w:szCs w:val="32"/>
          <w:lang w:eastAsia="zh-CN"/>
        </w:rPr>
        <w:t>增长</w:t>
      </w:r>
      <w:r>
        <w:rPr>
          <w:rFonts w:hint="default" w:ascii="Times New Roman" w:hAnsi="Times New Roman" w:eastAsia="方正仿宋简体" w:cs="Times New Roman"/>
          <w:spacing w:val="-6"/>
          <w:sz w:val="32"/>
          <w:szCs w:val="32"/>
          <w:lang w:val="en-US" w:eastAsia="zh-CN"/>
        </w:rPr>
        <w:t>9.8</w:t>
      </w:r>
      <w:r>
        <w:rPr>
          <w:rFonts w:hint="default" w:ascii="Times New Roman" w:hAnsi="Times New Roman" w:eastAsia="方正仿宋简体" w:cs="Times New Roman"/>
          <w:spacing w:val="-6"/>
          <w:sz w:val="32"/>
          <w:szCs w:val="32"/>
        </w:rPr>
        <w:t>%。</w:t>
      </w:r>
      <w:r>
        <w:rPr>
          <w:rFonts w:hint="eastAsia" w:ascii="Times New Roman" w:hAnsi="Times New Roman" w:eastAsia="方正仿宋简体" w:cs="Times New Roman"/>
          <w:spacing w:val="-6"/>
          <w:sz w:val="32"/>
          <w:szCs w:val="32"/>
          <w:lang w:eastAsia="zh-CN"/>
        </w:rPr>
        <w:t>分</w:t>
      </w:r>
      <w:r>
        <w:rPr>
          <w:rFonts w:hint="default" w:ascii="Times New Roman" w:hAnsi="Times New Roman" w:eastAsia="方正仿宋简体" w:cs="Times New Roman"/>
          <w:spacing w:val="-6"/>
          <w:sz w:val="32"/>
          <w:szCs w:val="32"/>
        </w:rPr>
        <w:t>消费形态</w:t>
      </w:r>
      <w:r>
        <w:rPr>
          <w:rFonts w:hint="eastAsia" w:ascii="Times New Roman" w:hAnsi="Times New Roman" w:eastAsia="方正仿宋简体" w:cs="Times New Roman"/>
          <w:spacing w:val="-6"/>
          <w:sz w:val="32"/>
          <w:szCs w:val="32"/>
          <w:lang w:eastAsia="zh-CN"/>
        </w:rPr>
        <w:t>看</w:t>
      </w:r>
      <w:r>
        <w:rPr>
          <w:rFonts w:hint="default" w:ascii="Times New Roman" w:hAnsi="Times New Roman" w:eastAsia="方正仿宋简体" w:cs="Times New Roman"/>
          <w:spacing w:val="-6"/>
          <w:sz w:val="32"/>
          <w:szCs w:val="32"/>
        </w:rPr>
        <w:t>，商品零售</w:t>
      </w:r>
      <w:r>
        <w:rPr>
          <w:rFonts w:hint="default" w:ascii="Times New Roman" w:hAnsi="Times New Roman" w:eastAsia="方正仿宋简体" w:cs="Times New Roman"/>
          <w:spacing w:val="-6"/>
          <w:sz w:val="32"/>
          <w:szCs w:val="32"/>
          <w:lang w:val="en-US" w:eastAsia="zh-CN"/>
        </w:rPr>
        <w:t>9230.70</w:t>
      </w:r>
      <w:r>
        <w:rPr>
          <w:rFonts w:hint="default" w:ascii="Times New Roman" w:hAnsi="Times New Roman" w:eastAsia="方正仿宋简体" w:cs="Times New Roman"/>
          <w:spacing w:val="-6"/>
          <w:sz w:val="32"/>
          <w:szCs w:val="32"/>
        </w:rPr>
        <w:t>亿元，</w:t>
      </w:r>
      <w:r>
        <w:rPr>
          <w:rFonts w:hint="default" w:ascii="Times New Roman" w:hAnsi="Times New Roman" w:eastAsia="方正仿宋简体" w:cs="Times New Roman"/>
          <w:spacing w:val="-6"/>
          <w:sz w:val="32"/>
          <w:szCs w:val="32"/>
          <w:lang w:eastAsia="zh-CN"/>
        </w:rPr>
        <w:t>增长</w:t>
      </w:r>
      <w:r>
        <w:rPr>
          <w:rFonts w:hint="default" w:ascii="Times New Roman" w:hAnsi="Times New Roman" w:eastAsia="方正仿宋简体" w:cs="Times New Roman"/>
          <w:spacing w:val="-6"/>
          <w:sz w:val="32"/>
          <w:szCs w:val="32"/>
          <w:lang w:val="en-US" w:eastAsia="zh-CN"/>
        </w:rPr>
        <w:t>8.6</w:t>
      </w:r>
      <w:r>
        <w:rPr>
          <w:rFonts w:hint="default" w:ascii="Times New Roman" w:hAnsi="Times New Roman" w:eastAsia="方正仿宋简体" w:cs="Times New Roman"/>
          <w:spacing w:val="-6"/>
          <w:sz w:val="32"/>
          <w:szCs w:val="32"/>
        </w:rPr>
        <w:t>%；餐饮收入</w:t>
      </w:r>
      <w:r>
        <w:rPr>
          <w:rFonts w:hint="default" w:ascii="Times New Roman" w:hAnsi="Times New Roman" w:eastAsia="方正仿宋简体" w:cs="Times New Roman"/>
          <w:spacing w:val="-6"/>
          <w:sz w:val="32"/>
          <w:szCs w:val="32"/>
          <w:lang w:val="en-US" w:eastAsia="zh-CN"/>
        </w:rPr>
        <w:t>1501.09</w:t>
      </w:r>
      <w:r>
        <w:rPr>
          <w:rFonts w:hint="default" w:ascii="Times New Roman" w:hAnsi="Times New Roman" w:eastAsia="方正仿宋简体" w:cs="Times New Roman"/>
          <w:spacing w:val="-6"/>
          <w:sz w:val="32"/>
          <w:szCs w:val="32"/>
        </w:rPr>
        <w:t>亿元，</w:t>
      </w:r>
      <w:r>
        <w:rPr>
          <w:rFonts w:hint="default" w:ascii="Times New Roman" w:hAnsi="Times New Roman" w:eastAsia="方正仿宋简体" w:cs="Times New Roman"/>
          <w:spacing w:val="-6"/>
          <w:sz w:val="32"/>
          <w:szCs w:val="32"/>
          <w:lang w:eastAsia="zh-CN"/>
        </w:rPr>
        <w:t>增长</w:t>
      </w:r>
      <w:r>
        <w:rPr>
          <w:rFonts w:hint="default" w:ascii="Times New Roman" w:hAnsi="Times New Roman" w:eastAsia="方正仿宋简体" w:cs="Times New Roman"/>
          <w:spacing w:val="-6"/>
          <w:sz w:val="32"/>
          <w:szCs w:val="32"/>
          <w:lang w:val="en-US" w:eastAsia="zh-CN"/>
        </w:rPr>
        <w:t>16.4</w:t>
      </w:r>
      <w:r>
        <w:rPr>
          <w:rFonts w:hint="default" w:ascii="Times New Roman" w:hAnsi="Times New Roman" w:eastAsia="方正仿宋简体" w:cs="Times New Roman"/>
          <w:spacing w:val="-6"/>
          <w:sz w:val="32"/>
          <w:szCs w:val="32"/>
        </w:rPr>
        <w:t>%。</w:t>
      </w:r>
    </w:p>
    <w:p>
      <w:pPr>
        <w:keepNext w:val="0"/>
        <w:keepLines w:val="0"/>
        <w:pageBreakBefore w:val="0"/>
        <w:kinsoku/>
        <w:wordWrap/>
        <w:overflowPunct w:val="0"/>
        <w:topLinePunct w:val="0"/>
        <w:autoSpaceDE/>
        <w:autoSpaceDN/>
        <w:bidi w:val="0"/>
        <w:adjustRightInd/>
        <w:spacing w:line="240" w:lineRule="auto"/>
        <w:jc w:val="center"/>
        <w:rPr>
          <w:rFonts w:hint="default" w:ascii="Times New Roman" w:hAnsi="Times New Roman" w:eastAsia="方正仿宋简体" w:cs="Times New Roman"/>
          <w:sz w:val="32"/>
          <w:szCs w:val="32"/>
        </w:rPr>
      </w:pPr>
      <w:r>
        <w:drawing>
          <wp:inline distT="0" distB="0" distL="114300" distR="114300">
            <wp:extent cx="5162550" cy="29241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5162550" cy="2924175"/>
                    </a:xfrm>
                    <a:prstGeom prst="rect">
                      <a:avLst/>
                    </a:prstGeom>
                    <a:noFill/>
                    <a:ln>
                      <a:noFill/>
                    </a:ln>
                  </pic:spPr>
                </pic:pic>
              </a:graphicData>
            </a:graphic>
          </wp:inline>
        </w:drawing>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在限额以上批发</w:t>
      </w:r>
      <w:r>
        <w:rPr>
          <w:rFonts w:hint="eastAsia" w:ascii="Times New Roman" w:hAnsi="Times New Roman" w:eastAsia="方正仿宋简体" w:cs="Times New Roman"/>
          <w:sz w:val="32"/>
          <w:szCs w:val="32"/>
          <w:lang w:eastAsia="zh-CN"/>
        </w:rPr>
        <w:t>和</w:t>
      </w:r>
      <w:r>
        <w:rPr>
          <w:rFonts w:hint="default" w:ascii="Times New Roman" w:hAnsi="Times New Roman" w:eastAsia="方正仿宋简体" w:cs="Times New Roman"/>
          <w:sz w:val="32"/>
          <w:szCs w:val="32"/>
        </w:rPr>
        <w:t>零售</w:t>
      </w:r>
      <w:r>
        <w:rPr>
          <w:rFonts w:hint="eastAsia" w:ascii="Times New Roman" w:hAnsi="Times New Roman" w:eastAsia="方正仿宋简体" w:cs="Times New Roman"/>
          <w:sz w:val="32"/>
          <w:szCs w:val="32"/>
          <w:lang w:eastAsia="zh-CN"/>
        </w:rPr>
        <w:t>业</w:t>
      </w:r>
      <w:r>
        <w:rPr>
          <w:rStyle w:val="15"/>
          <w:rFonts w:hint="default" w:ascii="Times New Roman" w:hAnsi="Times New Roman" w:eastAsia="方正仿宋简体" w:cs="Times New Roman"/>
          <w:sz w:val="32"/>
          <w:szCs w:val="32"/>
        </w:rPr>
        <w:t>[</w:t>
      </w:r>
      <w:r>
        <w:rPr>
          <w:rStyle w:val="15"/>
          <w:rFonts w:hint="default" w:ascii="Times New Roman" w:hAnsi="Times New Roman" w:eastAsia="方正仿宋简体" w:cs="Times New Roman"/>
          <w:sz w:val="32"/>
          <w:szCs w:val="32"/>
        </w:rPr>
        <w:endnoteReference w:id="10"/>
      </w:r>
      <w:r>
        <w:rPr>
          <w:rStyle w:val="15"/>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商品</w:t>
      </w:r>
      <w:r>
        <w:rPr>
          <w:rFonts w:hint="default" w:ascii="Times New Roman" w:hAnsi="Times New Roman" w:eastAsia="方正仿宋简体" w:cs="Times New Roman"/>
          <w:sz w:val="32"/>
          <w:szCs w:val="32"/>
        </w:rPr>
        <w:t>零售额中，粮油、食品类零售额比上年增长</w:t>
      </w:r>
      <w:r>
        <w:rPr>
          <w:rFonts w:hint="default" w:ascii="Times New Roman" w:hAnsi="Times New Roman" w:eastAsia="方正仿宋简体" w:cs="Times New Roman"/>
          <w:sz w:val="32"/>
          <w:szCs w:val="32"/>
          <w:lang w:val="en-US" w:eastAsia="zh-CN"/>
        </w:rPr>
        <w:t>17.4</w:t>
      </w:r>
      <w:r>
        <w:rPr>
          <w:rFonts w:hint="default" w:ascii="Times New Roman" w:hAnsi="Times New Roman" w:eastAsia="方正仿宋简体" w:cs="Times New Roman"/>
          <w:sz w:val="32"/>
          <w:szCs w:val="32"/>
        </w:rPr>
        <w:t>%，饮料类增长</w:t>
      </w:r>
      <w:r>
        <w:rPr>
          <w:rFonts w:hint="default" w:ascii="Times New Roman" w:hAnsi="Times New Roman" w:eastAsia="方正仿宋简体" w:cs="Times New Roman"/>
          <w:sz w:val="32"/>
          <w:szCs w:val="32"/>
          <w:lang w:val="en-US" w:eastAsia="zh-CN"/>
        </w:rPr>
        <w:t>17.6</w:t>
      </w:r>
      <w:r>
        <w:rPr>
          <w:rFonts w:hint="default" w:ascii="Times New Roman" w:hAnsi="Times New Roman" w:eastAsia="方正仿宋简体" w:cs="Times New Roman"/>
          <w:sz w:val="32"/>
          <w:szCs w:val="32"/>
        </w:rPr>
        <w:t>%，烟酒类</w:t>
      </w:r>
      <w:r>
        <w:rPr>
          <w:rFonts w:hint="default" w:ascii="Times New Roman" w:hAnsi="Times New Roman" w:eastAsia="方正仿宋简体" w:cs="Times New Roman"/>
          <w:sz w:val="32"/>
          <w:szCs w:val="32"/>
          <w:lang w:eastAsia="zh-CN"/>
        </w:rPr>
        <w:t>增长</w:t>
      </w:r>
      <w:r>
        <w:rPr>
          <w:rFonts w:hint="default" w:ascii="Times New Roman" w:hAnsi="Times New Roman" w:eastAsia="方正仿宋简体" w:cs="Times New Roman"/>
          <w:sz w:val="32"/>
          <w:szCs w:val="32"/>
          <w:lang w:val="en-US" w:eastAsia="zh-CN"/>
        </w:rPr>
        <w:t>9.6</w:t>
      </w:r>
      <w:r>
        <w:rPr>
          <w:rFonts w:hint="default" w:ascii="Times New Roman" w:hAnsi="Times New Roman" w:eastAsia="方正仿宋简体" w:cs="Times New Roman"/>
          <w:sz w:val="32"/>
          <w:szCs w:val="32"/>
        </w:rPr>
        <w:t>%，服装、鞋帽、针纺织品类</w:t>
      </w:r>
      <w:r>
        <w:rPr>
          <w:rFonts w:hint="default" w:ascii="Times New Roman" w:hAnsi="Times New Roman" w:eastAsia="方正仿宋简体" w:cs="Times New Roman"/>
          <w:sz w:val="32"/>
          <w:szCs w:val="32"/>
          <w:lang w:eastAsia="zh-CN"/>
        </w:rPr>
        <w:t>增长</w:t>
      </w:r>
      <w:r>
        <w:rPr>
          <w:rFonts w:hint="default" w:ascii="Times New Roman" w:hAnsi="Times New Roman" w:eastAsia="方正仿宋简体" w:cs="Times New Roman"/>
          <w:sz w:val="32"/>
          <w:szCs w:val="32"/>
          <w:lang w:val="en-US" w:eastAsia="zh-CN"/>
        </w:rPr>
        <w:t>6.6</w:t>
      </w:r>
      <w:r>
        <w:rPr>
          <w:rFonts w:hint="default" w:ascii="Times New Roman" w:hAnsi="Times New Roman" w:eastAsia="方正仿宋简体" w:cs="Times New Roman"/>
          <w:sz w:val="32"/>
          <w:szCs w:val="32"/>
        </w:rPr>
        <w:t>%，化妆品类</w:t>
      </w:r>
      <w:r>
        <w:rPr>
          <w:rFonts w:hint="default" w:ascii="Times New Roman" w:hAnsi="Times New Roman" w:eastAsia="方正仿宋简体" w:cs="Times New Roman"/>
          <w:sz w:val="32"/>
          <w:szCs w:val="32"/>
          <w:lang w:eastAsia="zh-CN"/>
        </w:rPr>
        <w:t>增长</w:t>
      </w:r>
      <w:r>
        <w:rPr>
          <w:rFonts w:hint="default" w:ascii="Times New Roman" w:hAnsi="Times New Roman" w:eastAsia="方正仿宋简体" w:cs="Times New Roman"/>
          <w:sz w:val="32"/>
          <w:szCs w:val="32"/>
          <w:lang w:val="en-US" w:eastAsia="zh-CN"/>
        </w:rPr>
        <w:t>2.4</w:t>
      </w:r>
      <w:r>
        <w:rPr>
          <w:rFonts w:hint="default" w:ascii="Times New Roman" w:hAnsi="Times New Roman" w:eastAsia="方正仿宋简体" w:cs="Times New Roman"/>
          <w:sz w:val="32"/>
          <w:szCs w:val="32"/>
        </w:rPr>
        <w:t>%，金银珠宝类</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9.7</w:t>
      </w:r>
      <w:r>
        <w:rPr>
          <w:rFonts w:hint="default" w:ascii="Times New Roman" w:hAnsi="Times New Roman" w:eastAsia="方正仿宋简体" w:cs="Times New Roman"/>
          <w:sz w:val="32"/>
          <w:szCs w:val="32"/>
        </w:rPr>
        <w:t>%，日用品类</w:t>
      </w:r>
      <w:r>
        <w:rPr>
          <w:rFonts w:hint="default" w:ascii="Times New Roman" w:hAnsi="Times New Roman" w:eastAsia="方正仿宋简体" w:cs="Times New Roman"/>
          <w:sz w:val="32"/>
          <w:szCs w:val="32"/>
          <w:lang w:eastAsia="zh-CN"/>
        </w:rPr>
        <w:t>增长</w:t>
      </w:r>
      <w:r>
        <w:rPr>
          <w:rFonts w:hint="default" w:ascii="Times New Roman" w:hAnsi="Times New Roman" w:eastAsia="方正仿宋简体" w:cs="Times New Roman"/>
          <w:sz w:val="32"/>
          <w:szCs w:val="32"/>
          <w:lang w:val="en-US" w:eastAsia="zh-CN"/>
        </w:rPr>
        <w:t>15.4</w:t>
      </w:r>
      <w:r>
        <w:rPr>
          <w:rFonts w:hint="default" w:ascii="Times New Roman" w:hAnsi="Times New Roman" w:eastAsia="方正仿宋简体" w:cs="Times New Roman"/>
          <w:sz w:val="32"/>
          <w:szCs w:val="32"/>
        </w:rPr>
        <w:t>%，家用电器和音像器材类</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6.3</w:t>
      </w:r>
      <w:r>
        <w:rPr>
          <w:rFonts w:hint="default" w:ascii="Times New Roman" w:hAnsi="Times New Roman" w:eastAsia="方正仿宋简体" w:cs="Times New Roman"/>
          <w:sz w:val="32"/>
          <w:szCs w:val="32"/>
        </w:rPr>
        <w:t>%，中西药品类增长</w:t>
      </w:r>
      <w:r>
        <w:rPr>
          <w:rFonts w:hint="default" w:ascii="Times New Roman" w:hAnsi="Times New Roman" w:eastAsia="方正仿宋简体" w:cs="Times New Roman"/>
          <w:sz w:val="32"/>
          <w:szCs w:val="32"/>
          <w:lang w:val="en-US" w:eastAsia="zh-CN"/>
        </w:rPr>
        <w:t>8.2</w:t>
      </w:r>
      <w:r>
        <w:rPr>
          <w:rFonts w:hint="default" w:ascii="Times New Roman" w:hAnsi="Times New Roman" w:eastAsia="方正仿宋简体" w:cs="Times New Roman"/>
          <w:sz w:val="32"/>
          <w:szCs w:val="32"/>
        </w:rPr>
        <w:t>%，文化办公用品类增长</w:t>
      </w:r>
      <w:r>
        <w:rPr>
          <w:rFonts w:hint="default" w:ascii="Times New Roman" w:hAnsi="Times New Roman" w:eastAsia="方正仿宋简体" w:cs="Times New Roman"/>
          <w:sz w:val="32"/>
          <w:szCs w:val="32"/>
          <w:lang w:val="en-US" w:eastAsia="zh-CN"/>
        </w:rPr>
        <w:t>8.8</w:t>
      </w:r>
      <w:r>
        <w:rPr>
          <w:rFonts w:hint="default" w:ascii="Times New Roman" w:hAnsi="Times New Roman" w:eastAsia="方正仿宋简体" w:cs="Times New Roman"/>
          <w:sz w:val="32"/>
          <w:szCs w:val="32"/>
        </w:rPr>
        <w:t>%，家具类</w:t>
      </w:r>
      <w:r>
        <w:rPr>
          <w:rFonts w:hint="default" w:ascii="Times New Roman" w:hAnsi="Times New Roman" w:eastAsia="方正仿宋简体" w:cs="Times New Roman"/>
          <w:sz w:val="32"/>
          <w:szCs w:val="32"/>
          <w:lang w:eastAsia="zh-CN"/>
        </w:rPr>
        <w:t>增长</w:t>
      </w:r>
      <w:r>
        <w:rPr>
          <w:rFonts w:hint="default" w:ascii="Times New Roman" w:hAnsi="Times New Roman" w:eastAsia="方正仿宋简体" w:cs="Times New Roman"/>
          <w:sz w:val="32"/>
          <w:szCs w:val="32"/>
          <w:lang w:val="en-US" w:eastAsia="zh-CN"/>
        </w:rPr>
        <w:t>3.8</w:t>
      </w:r>
      <w:r>
        <w:rPr>
          <w:rFonts w:hint="default" w:ascii="Times New Roman" w:hAnsi="Times New Roman" w:eastAsia="方正仿宋简体" w:cs="Times New Roman"/>
          <w:sz w:val="32"/>
          <w:szCs w:val="32"/>
        </w:rPr>
        <w:t>%，通讯器材类增长</w:t>
      </w:r>
      <w:r>
        <w:rPr>
          <w:rFonts w:hint="default" w:ascii="Times New Roman" w:hAnsi="Times New Roman" w:eastAsia="方正仿宋简体" w:cs="Times New Roman"/>
          <w:sz w:val="32"/>
          <w:szCs w:val="32"/>
          <w:lang w:val="en-US" w:eastAsia="zh-CN"/>
        </w:rPr>
        <w:t>13.0</w:t>
      </w:r>
      <w:r>
        <w:rPr>
          <w:rFonts w:hint="default" w:ascii="Times New Roman" w:hAnsi="Times New Roman" w:eastAsia="方正仿宋简体" w:cs="Times New Roman"/>
          <w:sz w:val="32"/>
          <w:szCs w:val="32"/>
        </w:rPr>
        <w:t>%，石油及制品类</w:t>
      </w:r>
      <w:r>
        <w:rPr>
          <w:rFonts w:hint="default" w:ascii="Times New Roman" w:hAnsi="Times New Roman" w:eastAsia="方正仿宋简体" w:cs="Times New Roman"/>
          <w:sz w:val="32"/>
          <w:szCs w:val="32"/>
          <w:lang w:eastAsia="zh-CN"/>
        </w:rPr>
        <w:t>增长</w:t>
      </w:r>
      <w:r>
        <w:rPr>
          <w:rFonts w:hint="default" w:ascii="Times New Roman" w:hAnsi="Times New Roman" w:eastAsia="方正仿宋简体" w:cs="Times New Roman"/>
          <w:sz w:val="32"/>
          <w:szCs w:val="32"/>
          <w:lang w:val="en-US" w:eastAsia="zh-CN"/>
        </w:rPr>
        <w:t>16.0</w:t>
      </w:r>
      <w:r>
        <w:rPr>
          <w:rFonts w:hint="default" w:ascii="Times New Roman" w:hAnsi="Times New Roman" w:eastAsia="方正仿宋简体" w:cs="Times New Roman"/>
          <w:sz w:val="32"/>
          <w:szCs w:val="32"/>
        </w:rPr>
        <w:t>%，建筑及装潢材料类</w:t>
      </w:r>
      <w:r>
        <w:rPr>
          <w:rFonts w:hint="default" w:ascii="Times New Roman" w:hAnsi="Times New Roman" w:eastAsia="方正仿宋简体" w:cs="Times New Roman"/>
          <w:sz w:val="32"/>
          <w:szCs w:val="32"/>
          <w:lang w:eastAsia="zh-CN"/>
        </w:rPr>
        <w:t>增长</w:t>
      </w:r>
      <w:r>
        <w:rPr>
          <w:rFonts w:hint="default" w:ascii="Times New Roman" w:hAnsi="Times New Roman" w:eastAsia="方正仿宋简体" w:cs="Times New Roman"/>
          <w:sz w:val="32"/>
          <w:szCs w:val="32"/>
          <w:lang w:val="en-US" w:eastAsia="zh-CN"/>
        </w:rPr>
        <w:t>20.5</w:t>
      </w:r>
      <w:r>
        <w:rPr>
          <w:rFonts w:hint="default" w:ascii="Times New Roman" w:hAnsi="Times New Roman" w:eastAsia="方正仿宋简体" w:cs="Times New Roman"/>
          <w:sz w:val="32"/>
          <w:szCs w:val="32"/>
        </w:rPr>
        <w:t>%，汽车类</w:t>
      </w:r>
      <w:r>
        <w:rPr>
          <w:rFonts w:hint="default" w:ascii="Times New Roman" w:hAnsi="Times New Roman" w:eastAsia="方正仿宋简体" w:cs="Times New Roman"/>
          <w:sz w:val="32"/>
          <w:szCs w:val="32"/>
          <w:lang w:eastAsia="zh-CN"/>
        </w:rPr>
        <w:t>增长</w:t>
      </w:r>
      <w:r>
        <w:rPr>
          <w:rFonts w:hint="default" w:ascii="Times New Roman" w:hAnsi="Times New Roman" w:eastAsia="方正仿宋简体" w:cs="Times New Roman"/>
          <w:sz w:val="32"/>
          <w:szCs w:val="32"/>
          <w:lang w:val="en-US" w:eastAsia="zh-CN"/>
        </w:rPr>
        <w:t>6.2</w:t>
      </w:r>
      <w:r>
        <w:rPr>
          <w:rFonts w:hint="default" w:ascii="Times New Roman" w:hAnsi="Times New Roman" w:eastAsia="方正仿宋简体" w:cs="Times New Roman"/>
          <w:sz w:val="32"/>
          <w:szCs w:val="32"/>
        </w:rPr>
        <w:t>%。</w:t>
      </w:r>
    </w:p>
    <w:p>
      <w:pPr>
        <w:pStyle w:val="2"/>
        <w:keepNext w:val="0"/>
        <w:keepLines w:val="0"/>
        <w:pageBreakBefore w:val="0"/>
        <w:kinsoku/>
        <w:wordWrap/>
        <w:overflowPunct w:val="0"/>
        <w:topLinePunct w:val="0"/>
        <w:autoSpaceDE/>
        <w:autoSpaceDN/>
        <w:bidi w:val="0"/>
        <w:adjustRightInd/>
        <w:spacing w:line="240" w:lineRule="auto"/>
        <w:ind w:left="0" w:leftChars="0" w:firstLine="0" w:firstLineChars="0"/>
        <w:jc w:val="center"/>
        <w:rPr>
          <w:rFonts w:hint="default" w:ascii="Times New Roman" w:hAnsi="Times New Roman" w:cs="Times New Roman"/>
        </w:rPr>
      </w:pPr>
      <w:r>
        <w:drawing>
          <wp:inline distT="0" distB="0" distL="114300" distR="114300">
            <wp:extent cx="5486400" cy="2926715"/>
            <wp:effectExtent l="0" t="0" r="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5486400" cy="2926715"/>
                    </a:xfrm>
                    <a:prstGeom prst="rect">
                      <a:avLst/>
                    </a:prstGeom>
                    <a:noFill/>
                    <a:ln>
                      <a:noFill/>
                    </a:ln>
                  </pic:spPr>
                </pic:pic>
              </a:graphicData>
            </a:graphic>
          </wp:inline>
        </w:drawing>
      </w:r>
    </w:p>
    <w:p>
      <w:pPr>
        <w:keepNext w:val="0"/>
        <w:keepLines w:val="0"/>
        <w:pageBreakBefore w:val="0"/>
        <w:kinsoku/>
        <w:wordWrap/>
        <w:overflowPunct w:val="0"/>
        <w:topLinePunct w:val="0"/>
        <w:autoSpaceDE/>
        <w:autoSpaceDN/>
        <w:bidi w:val="0"/>
        <w:adjustRightInd/>
        <w:spacing w:before="156" w:beforeLines="50"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全年限额以上单位通过</w:t>
      </w:r>
      <w:r>
        <w:rPr>
          <w:rFonts w:hint="default" w:ascii="Times New Roman" w:hAnsi="Times New Roman" w:eastAsia="方正仿宋简体" w:cs="Times New Roman"/>
          <w:sz w:val="32"/>
          <w:szCs w:val="32"/>
          <w:lang w:eastAsia="zh-CN"/>
        </w:rPr>
        <w:t>公共网络</w:t>
      </w:r>
      <w:r>
        <w:rPr>
          <w:rFonts w:hint="default" w:ascii="Times New Roman" w:hAnsi="Times New Roman" w:eastAsia="方正仿宋简体" w:cs="Times New Roman"/>
          <w:sz w:val="32"/>
          <w:szCs w:val="32"/>
        </w:rPr>
        <w:t>实现</w:t>
      </w:r>
      <w:r>
        <w:rPr>
          <w:rFonts w:hint="eastAsia" w:ascii="Times New Roman" w:hAnsi="Times New Roman" w:eastAsia="方正仿宋简体" w:cs="Times New Roman"/>
          <w:sz w:val="32"/>
          <w:szCs w:val="32"/>
          <w:lang w:eastAsia="zh-CN"/>
        </w:rPr>
        <w:t>的</w:t>
      </w:r>
      <w:r>
        <w:rPr>
          <w:rFonts w:hint="default" w:ascii="Times New Roman" w:hAnsi="Times New Roman" w:eastAsia="方正仿宋简体" w:cs="Times New Roman"/>
          <w:sz w:val="32"/>
          <w:szCs w:val="32"/>
        </w:rPr>
        <w:t>商品零售额</w:t>
      </w:r>
      <w:r>
        <w:rPr>
          <w:rFonts w:hint="default" w:ascii="Times New Roman" w:hAnsi="Times New Roman" w:eastAsia="方正仿宋简体" w:cs="Times New Roman"/>
          <w:sz w:val="32"/>
          <w:szCs w:val="32"/>
          <w:lang w:val="en-US" w:eastAsia="zh-CN"/>
        </w:rPr>
        <w:t>90.73</w:t>
      </w:r>
      <w:r>
        <w:rPr>
          <w:rFonts w:hint="default" w:ascii="Times New Roman" w:hAnsi="Times New Roman" w:eastAsia="方正仿宋简体" w:cs="Times New Roman"/>
          <w:sz w:val="32"/>
          <w:szCs w:val="32"/>
        </w:rPr>
        <w:t>亿元，比上年增长</w:t>
      </w:r>
      <w:r>
        <w:rPr>
          <w:rFonts w:hint="default" w:ascii="Times New Roman" w:hAnsi="Times New Roman" w:eastAsia="方正仿宋简体" w:cs="Times New Roman"/>
          <w:sz w:val="32"/>
          <w:szCs w:val="32"/>
          <w:lang w:val="en-US" w:eastAsia="zh-CN"/>
        </w:rPr>
        <w:t>37.0</w:t>
      </w:r>
      <w:r>
        <w:rPr>
          <w:rFonts w:hint="default" w:ascii="Times New Roman" w:hAnsi="Times New Roman" w:eastAsia="方正仿宋简体" w:cs="Times New Roman"/>
          <w:sz w:val="32"/>
          <w:szCs w:val="32"/>
        </w:rPr>
        <w:t>%。</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cs="Times New Roman"/>
        </w:rPr>
      </w:pPr>
      <w:r>
        <w:rPr>
          <w:rFonts w:hint="default" w:ascii="Times New Roman" w:hAnsi="Times New Roman" w:eastAsia="方正仿宋简体" w:cs="Times New Roman"/>
          <w:sz w:val="32"/>
          <w:szCs w:val="32"/>
        </w:rPr>
        <w:t>全年外贸进出口总额</w:t>
      </w:r>
      <w:r>
        <w:rPr>
          <w:rFonts w:hint="default" w:ascii="Times New Roman" w:hAnsi="Times New Roman" w:eastAsia="方正仿宋简体" w:cs="Times New Roman"/>
          <w:sz w:val="32"/>
          <w:szCs w:val="32"/>
          <w:lang w:val="en-US" w:eastAsia="zh-CN"/>
        </w:rPr>
        <w:t>486.59</w:t>
      </w:r>
      <w:r>
        <w:rPr>
          <w:rFonts w:hint="default" w:ascii="Times New Roman" w:hAnsi="Times New Roman" w:eastAsia="方正仿宋简体" w:cs="Times New Roman"/>
          <w:sz w:val="32"/>
          <w:szCs w:val="32"/>
        </w:rPr>
        <w:t>亿美元，比上年增长</w:t>
      </w:r>
      <w:r>
        <w:rPr>
          <w:rFonts w:hint="default" w:ascii="Times New Roman" w:hAnsi="Times New Roman" w:eastAsia="方正仿宋简体" w:cs="Times New Roman"/>
          <w:sz w:val="32"/>
          <w:szCs w:val="32"/>
          <w:lang w:val="en-US" w:eastAsia="zh-CN"/>
        </w:rPr>
        <w:t>24.4</w:t>
      </w:r>
      <w:r>
        <w:rPr>
          <w:rFonts w:hint="default" w:ascii="Times New Roman" w:hAnsi="Times New Roman" w:eastAsia="方正仿宋简体" w:cs="Times New Roman"/>
          <w:sz w:val="32"/>
          <w:szCs w:val="32"/>
        </w:rPr>
        <w:t>%。其中，出口总额</w:t>
      </w:r>
      <w:r>
        <w:rPr>
          <w:rFonts w:hint="default" w:ascii="Times New Roman" w:hAnsi="Times New Roman" w:eastAsia="方正仿宋简体" w:cs="Times New Roman"/>
          <w:sz w:val="32"/>
          <w:szCs w:val="32"/>
          <w:lang w:val="en-US" w:eastAsia="zh-CN"/>
        </w:rPr>
        <w:t>273.46</w:t>
      </w:r>
      <w:r>
        <w:rPr>
          <w:rFonts w:hint="default" w:ascii="Times New Roman" w:hAnsi="Times New Roman" w:eastAsia="方正仿宋简体" w:cs="Times New Roman"/>
          <w:sz w:val="32"/>
          <w:szCs w:val="32"/>
        </w:rPr>
        <w:t>亿美元，增长</w:t>
      </w:r>
      <w:r>
        <w:rPr>
          <w:rFonts w:hint="default" w:ascii="Times New Roman" w:hAnsi="Times New Roman" w:eastAsia="方正仿宋简体" w:cs="Times New Roman"/>
          <w:sz w:val="32"/>
          <w:szCs w:val="32"/>
          <w:lang w:val="en-US" w:eastAsia="zh-CN"/>
        </w:rPr>
        <w:t>23.5</w:t>
      </w:r>
      <w:r>
        <w:rPr>
          <w:rFonts w:hint="default" w:ascii="Times New Roman" w:hAnsi="Times New Roman" w:eastAsia="方正仿宋简体" w:cs="Times New Roman"/>
          <w:sz w:val="32"/>
          <w:szCs w:val="32"/>
        </w:rPr>
        <w:t>%；进口总额</w:t>
      </w:r>
      <w:r>
        <w:rPr>
          <w:rFonts w:hint="default" w:ascii="Times New Roman" w:hAnsi="Times New Roman" w:eastAsia="方正仿宋简体" w:cs="Times New Roman"/>
          <w:sz w:val="32"/>
          <w:szCs w:val="32"/>
          <w:lang w:val="en-US" w:eastAsia="zh-CN"/>
        </w:rPr>
        <w:t>213.13</w:t>
      </w:r>
      <w:r>
        <w:rPr>
          <w:rFonts w:hint="default" w:ascii="Times New Roman" w:hAnsi="Times New Roman" w:eastAsia="方正仿宋简体" w:cs="Times New Roman"/>
          <w:sz w:val="32"/>
          <w:szCs w:val="32"/>
        </w:rPr>
        <w:t>亿美元，</w:t>
      </w:r>
      <w:r>
        <w:rPr>
          <w:rFonts w:hint="default" w:ascii="Times New Roman" w:hAnsi="Times New Roman" w:eastAsia="方正仿宋简体" w:cs="Times New Roman"/>
          <w:sz w:val="32"/>
          <w:szCs w:val="32"/>
          <w:lang w:eastAsia="zh-CN"/>
        </w:rPr>
        <w:t>增长</w:t>
      </w:r>
      <w:r>
        <w:rPr>
          <w:rFonts w:hint="default" w:ascii="Times New Roman" w:hAnsi="Times New Roman" w:eastAsia="方正仿宋简体" w:cs="Times New Roman"/>
          <w:sz w:val="32"/>
          <w:szCs w:val="32"/>
          <w:lang w:val="en-US" w:eastAsia="zh-CN"/>
        </w:rPr>
        <w:t>25.4</w:t>
      </w:r>
      <w:r>
        <w:rPr>
          <w:rFonts w:hint="default" w:ascii="Times New Roman" w:hAnsi="Times New Roman" w:eastAsia="方正仿宋简体" w:cs="Times New Roman"/>
          <w:sz w:val="32"/>
          <w:szCs w:val="32"/>
        </w:rPr>
        <w:t>%。对欧盟进出口</w:t>
      </w:r>
      <w:r>
        <w:rPr>
          <w:rFonts w:hint="default" w:ascii="Times New Roman" w:hAnsi="Times New Roman" w:eastAsia="方正仿宋简体" w:cs="Times New Roman"/>
          <w:sz w:val="32"/>
          <w:szCs w:val="32"/>
          <w:lang w:val="en-US" w:eastAsia="zh-CN"/>
        </w:rPr>
        <w:t>28.51</w:t>
      </w:r>
      <w:r>
        <w:rPr>
          <w:rFonts w:hint="default" w:ascii="Times New Roman" w:hAnsi="Times New Roman" w:eastAsia="方正仿宋简体" w:cs="Times New Roman"/>
          <w:sz w:val="32"/>
          <w:szCs w:val="32"/>
        </w:rPr>
        <w:t>亿美元，增长</w:t>
      </w:r>
      <w:r>
        <w:rPr>
          <w:rFonts w:hint="default" w:ascii="Times New Roman" w:hAnsi="Times New Roman" w:eastAsia="方正仿宋简体" w:cs="Times New Roman"/>
          <w:sz w:val="32"/>
          <w:szCs w:val="32"/>
          <w:lang w:val="en-US" w:eastAsia="zh-CN"/>
        </w:rPr>
        <w:t>49.2</w:t>
      </w:r>
      <w:r>
        <w:rPr>
          <w:rFonts w:hint="default" w:ascii="Times New Roman" w:hAnsi="Times New Roman" w:eastAsia="方正仿宋简体" w:cs="Times New Roman"/>
          <w:sz w:val="32"/>
          <w:szCs w:val="32"/>
        </w:rPr>
        <w:t>%；对东盟进出口</w:t>
      </w:r>
      <w:r>
        <w:rPr>
          <w:rFonts w:hint="default" w:ascii="Times New Roman" w:hAnsi="Times New Roman" w:eastAsia="方正仿宋简体" w:cs="Times New Roman"/>
          <w:sz w:val="32"/>
          <w:szCs w:val="32"/>
          <w:lang w:val="en-US" w:eastAsia="zh-CN"/>
        </w:rPr>
        <w:t>192.34</w:t>
      </w:r>
      <w:r>
        <w:rPr>
          <w:rFonts w:hint="default" w:ascii="Times New Roman" w:hAnsi="Times New Roman" w:eastAsia="方正仿宋简体" w:cs="Times New Roman"/>
          <w:sz w:val="32"/>
          <w:szCs w:val="32"/>
        </w:rPr>
        <w:t>亿美元，增长</w:t>
      </w:r>
      <w:r>
        <w:rPr>
          <w:rFonts w:hint="default" w:ascii="Times New Roman" w:hAnsi="Times New Roman" w:eastAsia="方正仿宋简体" w:cs="Times New Roman"/>
          <w:sz w:val="32"/>
          <w:szCs w:val="32"/>
          <w:lang w:val="en-US" w:eastAsia="zh-CN"/>
        </w:rPr>
        <w:t>7.7</w:t>
      </w:r>
      <w:r>
        <w:rPr>
          <w:rFonts w:hint="default" w:ascii="Times New Roman" w:hAnsi="Times New Roman" w:eastAsia="方正仿宋简体" w:cs="Times New Roman"/>
          <w:sz w:val="32"/>
          <w:szCs w:val="32"/>
        </w:rPr>
        <w:t>%。</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全年共批准利用外资项目</w:t>
      </w:r>
      <w:r>
        <w:rPr>
          <w:rFonts w:hint="default" w:ascii="Times New Roman" w:hAnsi="Times New Roman" w:eastAsia="方正仿宋简体" w:cs="Times New Roman"/>
          <w:sz w:val="32"/>
          <w:szCs w:val="32"/>
          <w:lang w:val="en-US" w:eastAsia="zh-CN"/>
        </w:rPr>
        <w:t>337</w:t>
      </w:r>
      <w:r>
        <w:rPr>
          <w:rFonts w:hint="default" w:ascii="Times New Roman" w:hAnsi="Times New Roman" w:eastAsia="方正仿宋简体" w:cs="Times New Roman"/>
          <w:sz w:val="32"/>
          <w:szCs w:val="32"/>
        </w:rPr>
        <w:t>个，比上年增长</w:t>
      </w:r>
      <w:r>
        <w:rPr>
          <w:rFonts w:hint="default" w:ascii="Times New Roman" w:hAnsi="Times New Roman" w:eastAsia="方正仿宋简体" w:cs="Times New Roman"/>
          <w:sz w:val="32"/>
          <w:szCs w:val="32"/>
          <w:lang w:val="en-US" w:eastAsia="zh-CN"/>
        </w:rPr>
        <w:t>26.2</w:t>
      </w:r>
      <w:r>
        <w:rPr>
          <w:rFonts w:hint="default" w:ascii="Times New Roman" w:hAnsi="Times New Roman" w:eastAsia="方正仿宋简体" w:cs="Times New Roman"/>
          <w:sz w:val="32"/>
          <w:szCs w:val="32"/>
        </w:rPr>
        <w:t>%。实际使用外商直接投资</w:t>
      </w:r>
      <w:r>
        <w:rPr>
          <w:rFonts w:hint="default" w:ascii="Times New Roman" w:hAnsi="Times New Roman" w:eastAsia="方正仿宋简体" w:cs="Times New Roman"/>
          <w:sz w:val="32"/>
          <w:szCs w:val="32"/>
          <w:lang w:val="en-US" w:eastAsia="zh-CN"/>
        </w:rPr>
        <w:t>8.88</w:t>
      </w:r>
      <w:r>
        <w:rPr>
          <w:rFonts w:hint="default" w:ascii="Times New Roman" w:hAnsi="Times New Roman" w:eastAsia="方正仿宋简体" w:cs="Times New Roman"/>
          <w:sz w:val="32"/>
          <w:szCs w:val="32"/>
        </w:rPr>
        <w:t>亿美元。对外非金融类直接投资</w:t>
      </w:r>
      <w:r>
        <w:rPr>
          <w:rFonts w:hint="default" w:ascii="Times New Roman" w:hAnsi="Times New Roman" w:eastAsia="方正仿宋简体" w:cs="Times New Roman"/>
          <w:sz w:val="32"/>
          <w:szCs w:val="32"/>
          <w:lang w:val="en-US" w:eastAsia="zh-CN"/>
        </w:rPr>
        <w:t>10.24</w:t>
      </w:r>
      <w:r>
        <w:rPr>
          <w:rFonts w:hint="default" w:ascii="Times New Roman" w:hAnsi="Times New Roman" w:eastAsia="方正仿宋简体" w:cs="Times New Roman"/>
          <w:sz w:val="32"/>
          <w:szCs w:val="32"/>
        </w:rPr>
        <w:t>亿美元，增长</w:t>
      </w:r>
      <w:r>
        <w:rPr>
          <w:rFonts w:hint="default" w:ascii="Times New Roman" w:hAnsi="Times New Roman" w:eastAsia="方正仿宋简体" w:cs="Times New Roman"/>
          <w:sz w:val="32"/>
          <w:szCs w:val="32"/>
          <w:lang w:val="en-US" w:eastAsia="zh-CN"/>
        </w:rPr>
        <w:t>40</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w:t>
      </w:r>
    </w:p>
    <w:p>
      <w:pPr>
        <w:keepNext w:val="0"/>
        <w:keepLines w:val="0"/>
        <w:pageBreakBefore w:val="0"/>
        <w:kinsoku/>
        <w:wordWrap/>
        <w:overflowPunct w:val="0"/>
        <w:topLinePunct w:val="0"/>
        <w:autoSpaceDE/>
        <w:autoSpaceDN/>
        <w:bidi w:val="0"/>
        <w:adjustRightInd/>
        <w:spacing w:before="156" w:beforeLines="50" w:after="156" w:afterLines="50"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bCs/>
          <w:sz w:val="32"/>
          <w:szCs w:val="32"/>
        </w:rPr>
        <w:t>六、交通</w:t>
      </w:r>
      <w:r>
        <w:rPr>
          <w:rFonts w:hint="eastAsia" w:ascii="Times New Roman" w:hAnsi="Times New Roman" w:eastAsia="黑体" w:cs="Times New Roman"/>
          <w:bCs/>
          <w:sz w:val="32"/>
          <w:szCs w:val="32"/>
          <w:lang w:eastAsia="zh-CN"/>
        </w:rPr>
        <w:t>和</w:t>
      </w:r>
      <w:r>
        <w:rPr>
          <w:rFonts w:hint="default" w:ascii="Times New Roman" w:hAnsi="Times New Roman" w:eastAsia="黑体" w:cs="Times New Roman"/>
          <w:bCs/>
          <w:sz w:val="32"/>
          <w:szCs w:val="32"/>
        </w:rPr>
        <w:t>邮电</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全年货物运输总量</w:t>
      </w:r>
      <w:r>
        <w:rPr>
          <w:rFonts w:hint="default" w:ascii="Times New Roman" w:hAnsi="Times New Roman" w:eastAsia="方正仿宋简体" w:cs="Times New Roman"/>
          <w:color w:val="000000"/>
          <w:sz w:val="32"/>
          <w:szCs w:val="32"/>
          <w:lang w:val="en-US" w:eastAsia="zh-CN"/>
        </w:rPr>
        <w:t>14.39</w:t>
      </w:r>
      <w:r>
        <w:rPr>
          <w:rFonts w:hint="default" w:ascii="Times New Roman" w:hAnsi="Times New Roman" w:eastAsia="方正仿宋简体" w:cs="Times New Roman"/>
          <w:color w:val="000000"/>
          <w:sz w:val="32"/>
          <w:szCs w:val="32"/>
        </w:rPr>
        <w:t>亿吨，比上年</w:t>
      </w:r>
      <w:r>
        <w:rPr>
          <w:rFonts w:hint="eastAsia" w:ascii="Times New Roman" w:hAnsi="Times New Roman" w:eastAsia="方正仿宋简体" w:cs="Times New Roman"/>
          <w:color w:val="000000"/>
          <w:sz w:val="32"/>
          <w:szCs w:val="32"/>
          <w:lang w:eastAsia="zh-CN"/>
        </w:rPr>
        <w:t>增长</w:t>
      </w:r>
      <w:r>
        <w:rPr>
          <w:rFonts w:hint="default" w:ascii="Times New Roman" w:hAnsi="Times New Roman" w:eastAsia="方正仿宋简体" w:cs="Times New Roman"/>
          <w:color w:val="000000"/>
          <w:sz w:val="32"/>
          <w:szCs w:val="32"/>
          <w:lang w:val="en-US" w:eastAsia="zh-CN"/>
        </w:rPr>
        <w:t xml:space="preserve">10.4 </w:t>
      </w:r>
      <w:r>
        <w:rPr>
          <w:rFonts w:hint="default" w:ascii="Times New Roman" w:hAnsi="Times New Roman" w:eastAsia="方正仿宋简体" w:cs="Times New Roman"/>
          <w:color w:val="000000"/>
          <w:sz w:val="32"/>
          <w:szCs w:val="32"/>
        </w:rPr>
        <w:t>%。货物运输周转量</w:t>
      </w:r>
      <w:r>
        <w:rPr>
          <w:rFonts w:hint="default" w:ascii="Times New Roman" w:hAnsi="Times New Roman" w:eastAsia="方正仿宋简体" w:cs="Times New Roman"/>
          <w:color w:val="000000"/>
          <w:sz w:val="32"/>
          <w:szCs w:val="32"/>
          <w:lang w:val="en-US" w:eastAsia="zh-CN"/>
        </w:rPr>
        <w:t>1824.94</w:t>
      </w:r>
      <w:r>
        <w:rPr>
          <w:rFonts w:hint="default" w:ascii="Times New Roman" w:hAnsi="Times New Roman" w:eastAsia="方正仿宋简体" w:cs="Times New Roman"/>
          <w:color w:val="000000"/>
          <w:sz w:val="32"/>
          <w:szCs w:val="32"/>
        </w:rPr>
        <w:t>亿吨公里，增长</w:t>
      </w:r>
      <w:r>
        <w:rPr>
          <w:rFonts w:hint="default" w:ascii="Times New Roman" w:hAnsi="Times New Roman" w:eastAsia="方正仿宋简体" w:cs="Times New Roman"/>
          <w:color w:val="000000"/>
          <w:sz w:val="32"/>
          <w:szCs w:val="32"/>
          <w:lang w:val="en-US" w:eastAsia="zh-CN"/>
        </w:rPr>
        <w:t xml:space="preserve">17.7 </w:t>
      </w:r>
      <w:r>
        <w:rPr>
          <w:rFonts w:hint="default" w:ascii="Times New Roman" w:hAnsi="Times New Roman" w:eastAsia="方正仿宋简体" w:cs="Times New Roman"/>
          <w:color w:val="000000"/>
          <w:sz w:val="32"/>
          <w:szCs w:val="32"/>
        </w:rPr>
        <w:t>%。</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全年旅客运输总量</w:t>
      </w:r>
      <w:r>
        <w:rPr>
          <w:rFonts w:hint="default" w:ascii="Times New Roman" w:hAnsi="Times New Roman" w:eastAsia="方正仿宋简体" w:cs="Times New Roman"/>
          <w:color w:val="000000"/>
          <w:sz w:val="32"/>
          <w:szCs w:val="32"/>
          <w:lang w:val="en-US" w:eastAsia="zh-CN"/>
        </w:rPr>
        <w:t>2.27</w:t>
      </w:r>
      <w:r>
        <w:rPr>
          <w:rFonts w:hint="default" w:ascii="Times New Roman" w:hAnsi="Times New Roman" w:eastAsia="方正仿宋简体" w:cs="Times New Roman"/>
          <w:color w:val="000000"/>
          <w:sz w:val="32"/>
          <w:szCs w:val="32"/>
        </w:rPr>
        <w:t>亿人，比上年下降</w:t>
      </w:r>
      <w:r>
        <w:rPr>
          <w:rFonts w:hint="default" w:ascii="Times New Roman" w:hAnsi="Times New Roman" w:eastAsia="方正仿宋简体" w:cs="Times New Roman"/>
          <w:color w:val="000000"/>
          <w:sz w:val="32"/>
          <w:szCs w:val="32"/>
          <w:lang w:val="en-US" w:eastAsia="zh-CN"/>
        </w:rPr>
        <w:t>12.7</w:t>
      </w:r>
      <w:r>
        <w:rPr>
          <w:rFonts w:hint="default" w:ascii="Times New Roman" w:hAnsi="Times New Roman" w:eastAsia="方正仿宋简体" w:cs="Times New Roman"/>
          <w:color w:val="000000"/>
          <w:sz w:val="32"/>
          <w:szCs w:val="32"/>
        </w:rPr>
        <w:t>%。旅客运输周转量</w:t>
      </w:r>
      <w:r>
        <w:rPr>
          <w:rFonts w:hint="default" w:ascii="Times New Roman" w:hAnsi="Times New Roman" w:eastAsia="方正仿宋简体" w:cs="Times New Roman"/>
          <w:color w:val="000000"/>
          <w:sz w:val="32"/>
          <w:szCs w:val="32"/>
          <w:lang w:val="en-US" w:eastAsia="zh-CN"/>
        </w:rPr>
        <w:t>399.1</w:t>
      </w:r>
      <w:r>
        <w:rPr>
          <w:rFonts w:hint="default" w:ascii="Times New Roman" w:hAnsi="Times New Roman" w:eastAsia="方正仿宋简体" w:cs="Times New Roman"/>
          <w:color w:val="000000"/>
          <w:sz w:val="32"/>
          <w:szCs w:val="32"/>
        </w:rPr>
        <w:t>亿人公里，</w:t>
      </w:r>
      <w:r>
        <w:rPr>
          <w:rFonts w:hint="eastAsia" w:ascii="Times New Roman" w:hAnsi="Times New Roman" w:eastAsia="方正仿宋简体" w:cs="Times New Roman"/>
          <w:color w:val="000000"/>
          <w:sz w:val="32"/>
          <w:szCs w:val="32"/>
          <w:lang w:eastAsia="zh-CN"/>
        </w:rPr>
        <w:t>增长</w:t>
      </w:r>
      <w:r>
        <w:rPr>
          <w:rFonts w:hint="default" w:ascii="Times New Roman" w:hAnsi="Times New Roman" w:eastAsia="方正仿宋简体" w:cs="Times New Roman"/>
          <w:color w:val="000000"/>
          <w:sz w:val="32"/>
          <w:szCs w:val="32"/>
          <w:lang w:val="en-US" w:eastAsia="zh-CN"/>
        </w:rPr>
        <w:t>6.1</w:t>
      </w:r>
      <w:r>
        <w:rPr>
          <w:rFonts w:hint="default" w:ascii="Times New Roman" w:hAnsi="Times New Roman" w:eastAsia="方正仿宋简体" w:cs="Times New Roman"/>
          <w:color w:val="000000"/>
          <w:sz w:val="32"/>
          <w:szCs w:val="32"/>
        </w:rPr>
        <w:t>%。</w:t>
      </w:r>
    </w:p>
    <w:p>
      <w:pPr>
        <w:keepNext w:val="0"/>
        <w:keepLines w:val="0"/>
        <w:pageBreakBefore w:val="0"/>
        <w:kinsoku/>
        <w:wordWrap/>
        <w:overflowPunct w:val="0"/>
        <w:topLinePunct w:val="0"/>
        <w:autoSpaceDE/>
        <w:autoSpaceDN/>
        <w:bidi w:val="0"/>
        <w:adjustRightInd/>
        <w:spacing w:line="560" w:lineRule="exact"/>
        <w:jc w:val="center"/>
        <w:rPr>
          <w:rFonts w:hint="default" w:ascii="Times New Roman" w:hAnsi="Times New Roman" w:eastAsia="方正黑体简体" w:cs="Times New Roman"/>
          <w:bCs/>
          <w:kern w:val="0"/>
          <w:sz w:val="28"/>
          <w:szCs w:val="28"/>
        </w:rPr>
      </w:pPr>
      <w:r>
        <w:rPr>
          <w:rFonts w:hint="default" w:ascii="Times New Roman" w:hAnsi="Times New Roman" w:eastAsia="方正黑体简体" w:cs="Times New Roman"/>
          <w:bCs/>
          <w:kern w:val="0"/>
          <w:sz w:val="28"/>
          <w:szCs w:val="28"/>
        </w:rPr>
        <w:t>表6  202</w:t>
      </w:r>
      <w:r>
        <w:rPr>
          <w:rFonts w:hint="default" w:ascii="Times New Roman" w:hAnsi="Times New Roman" w:eastAsia="方正黑体简体" w:cs="Times New Roman"/>
          <w:bCs/>
          <w:kern w:val="0"/>
          <w:sz w:val="28"/>
          <w:szCs w:val="28"/>
          <w:lang w:val="en-US" w:eastAsia="zh-CN"/>
        </w:rPr>
        <w:t>1</w:t>
      </w:r>
      <w:r>
        <w:rPr>
          <w:rFonts w:hint="default" w:ascii="Times New Roman" w:hAnsi="Times New Roman" w:eastAsia="方正黑体简体" w:cs="Times New Roman"/>
          <w:bCs/>
          <w:kern w:val="0"/>
          <w:sz w:val="28"/>
          <w:szCs w:val="28"/>
        </w:rPr>
        <w:t>年云南各种运输方式货物运输量及增长速度</w:t>
      </w:r>
    </w:p>
    <w:tbl>
      <w:tblPr>
        <w:tblStyle w:val="13"/>
        <w:tblW w:w="0" w:type="auto"/>
        <w:jc w:val="center"/>
        <w:tblLayout w:type="fixed"/>
        <w:tblCellMar>
          <w:top w:w="0" w:type="dxa"/>
          <w:left w:w="17" w:type="dxa"/>
          <w:bottom w:w="0" w:type="dxa"/>
          <w:right w:w="454" w:type="dxa"/>
        </w:tblCellMar>
      </w:tblPr>
      <w:tblGrid>
        <w:gridCol w:w="2475"/>
        <w:gridCol w:w="1893"/>
        <w:gridCol w:w="1905"/>
        <w:gridCol w:w="1890"/>
      </w:tblGrid>
      <w:tr>
        <w:tblPrEx>
          <w:tblCellMar>
            <w:top w:w="0" w:type="dxa"/>
            <w:left w:w="17" w:type="dxa"/>
            <w:bottom w:w="0" w:type="dxa"/>
            <w:right w:w="454" w:type="dxa"/>
          </w:tblCellMar>
        </w:tblPrEx>
        <w:trPr>
          <w:trHeight w:val="483" w:hRule="atLeast"/>
          <w:jc w:val="center"/>
        </w:trPr>
        <w:tc>
          <w:tcPr>
            <w:tcW w:w="2475" w:type="dxa"/>
            <w:tcBorders>
              <w:top w:val="single" w:color="000000" w:sz="12" w:space="0"/>
              <w:bottom w:val="single" w:color="000000" w:sz="4" w:space="0"/>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指  标</w:t>
            </w:r>
          </w:p>
        </w:tc>
        <w:tc>
          <w:tcPr>
            <w:tcW w:w="1893" w:type="dxa"/>
            <w:tcBorders>
              <w:top w:val="single" w:color="000000" w:sz="12" w:space="0"/>
              <w:bottom w:val="single" w:color="000000" w:sz="4" w:space="0"/>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单  位</w:t>
            </w:r>
          </w:p>
        </w:tc>
        <w:tc>
          <w:tcPr>
            <w:tcW w:w="1905" w:type="dxa"/>
            <w:tcBorders>
              <w:top w:val="single" w:color="000000" w:sz="12" w:space="0"/>
              <w:bottom w:val="single" w:color="000000" w:sz="4" w:space="0"/>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绝对数</w:t>
            </w:r>
          </w:p>
        </w:tc>
        <w:tc>
          <w:tcPr>
            <w:tcW w:w="1890" w:type="dxa"/>
            <w:tcBorders>
              <w:top w:val="single" w:color="000000" w:sz="12" w:space="0"/>
              <w:bottom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比上年增长（%）</w:t>
            </w:r>
          </w:p>
        </w:tc>
      </w:tr>
      <w:tr>
        <w:tblPrEx>
          <w:tblCellMar>
            <w:top w:w="0" w:type="dxa"/>
            <w:left w:w="17" w:type="dxa"/>
            <w:bottom w:w="0" w:type="dxa"/>
            <w:right w:w="454" w:type="dxa"/>
          </w:tblCellMar>
        </w:tblPrEx>
        <w:trPr>
          <w:trHeight w:val="369" w:hRule="atLeast"/>
          <w:jc w:val="center"/>
        </w:trPr>
        <w:tc>
          <w:tcPr>
            <w:tcW w:w="2475"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货物运输总量</w:t>
            </w:r>
          </w:p>
        </w:tc>
        <w:tc>
          <w:tcPr>
            <w:tcW w:w="1893"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w:t>
            </w:r>
          </w:p>
        </w:tc>
        <w:tc>
          <w:tcPr>
            <w:tcW w:w="1905"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14.39</w:t>
            </w:r>
          </w:p>
        </w:tc>
        <w:tc>
          <w:tcPr>
            <w:tcW w:w="1890" w:type="dxa"/>
            <w:tcBorders>
              <w:top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10.4</w:t>
            </w:r>
          </w:p>
        </w:tc>
      </w:tr>
      <w:tr>
        <w:tblPrEx>
          <w:tblCellMar>
            <w:top w:w="0" w:type="dxa"/>
            <w:left w:w="17" w:type="dxa"/>
            <w:bottom w:w="0" w:type="dxa"/>
            <w:right w:w="454" w:type="dxa"/>
          </w:tblCellMar>
        </w:tblPrEx>
        <w:trPr>
          <w:trHeight w:val="369" w:hRule="atLeast"/>
          <w:jc w:val="center"/>
        </w:trPr>
        <w:tc>
          <w:tcPr>
            <w:tcW w:w="2475"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铁  路</w:t>
            </w:r>
          </w:p>
        </w:tc>
        <w:tc>
          <w:tcPr>
            <w:tcW w:w="1893"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w:t>
            </w:r>
          </w:p>
        </w:tc>
        <w:tc>
          <w:tcPr>
            <w:tcW w:w="1905"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1.42</w:t>
            </w:r>
          </w:p>
        </w:tc>
        <w:tc>
          <w:tcPr>
            <w:tcW w:w="1890" w:type="dxa"/>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lang w:val="en-US" w:eastAsia="zh-CN"/>
              </w:rPr>
            </w:pPr>
            <w:r>
              <w:rPr>
                <w:rFonts w:hint="eastAsia" w:ascii="Times New Roman" w:hAnsi="Times New Roman" w:eastAsia="宋体" w:cs="Times New Roman"/>
                <w:i w:val="0"/>
                <w:color w:val="000000"/>
                <w:kern w:val="0"/>
                <w:sz w:val="24"/>
                <w:szCs w:val="24"/>
                <w:u w:val="none"/>
                <w:lang w:val="en-US" w:eastAsia="zh-CN" w:bidi="ar"/>
              </w:rPr>
              <w:t>0</w:t>
            </w:r>
            <w:r>
              <w:rPr>
                <w:rFonts w:hint="eastAsia" w:ascii="Times New Roman" w:hAnsi="Times New Roman" w:cs="Times New Roman"/>
                <w:i w:val="0"/>
                <w:color w:val="000000"/>
                <w:kern w:val="0"/>
                <w:sz w:val="24"/>
                <w:szCs w:val="24"/>
                <w:u w:val="none"/>
                <w:lang w:val="en-US" w:eastAsia="zh-CN" w:bidi="ar"/>
              </w:rPr>
              <w:t>.0</w:t>
            </w:r>
          </w:p>
        </w:tc>
      </w:tr>
      <w:tr>
        <w:tblPrEx>
          <w:tblCellMar>
            <w:top w:w="0" w:type="dxa"/>
            <w:left w:w="17" w:type="dxa"/>
            <w:bottom w:w="0" w:type="dxa"/>
            <w:right w:w="454" w:type="dxa"/>
          </w:tblCellMar>
        </w:tblPrEx>
        <w:trPr>
          <w:trHeight w:val="369" w:hRule="atLeast"/>
          <w:jc w:val="center"/>
        </w:trPr>
        <w:tc>
          <w:tcPr>
            <w:tcW w:w="2475"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公  路</w:t>
            </w:r>
          </w:p>
        </w:tc>
        <w:tc>
          <w:tcPr>
            <w:tcW w:w="1893"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w:t>
            </w:r>
          </w:p>
        </w:tc>
        <w:tc>
          <w:tcPr>
            <w:tcW w:w="1905"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12.91</w:t>
            </w:r>
          </w:p>
        </w:tc>
        <w:tc>
          <w:tcPr>
            <w:tcW w:w="1890" w:type="dxa"/>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11.7</w:t>
            </w:r>
          </w:p>
        </w:tc>
      </w:tr>
      <w:tr>
        <w:tblPrEx>
          <w:tblCellMar>
            <w:top w:w="0" w:type="dxa"/>
            <w:left w:w="17" w:type="dxa"/>
            <w:bottom w:w="0" w:type="dxa"/>
            <w:right w:w="454" w:type="dxa"/>
          </w:tblCellMar>
        </w:tblPrEx>
        <w:trPr>
          <w:trHeight w:val="369" w:hRule="atLeast"/>
          <w:jc w:val="center"/>
        </w:trPr>
        <w:tc>
          <w:tcPr>
            <w:tcW w:w="2475"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水  运</w:t>
            </w:r>
          </w:p>
        </w:tc>
        <w:tc>
          <w:tcPr>
            <w:tcW w:w="1893"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w:t>
            </w:r>
          </w:p>
        </w:tc>
        <w:tc>
          <w:tcPr>
            <w:tcW w:w="1905"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0.06</w:t>
            </w:r>
          </w:p>
        </w:tc>
        <w:tc>
          <w:tcPr>
            <w:tcW w:w="1890" w:type="dxa"/>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10.9</w:t>
            </w:r>
          </w:p>
        </w:tc>
      </w:tr>
      <w:tr>
        <w:tblPrEx>
          <w:tblCellMar>
            <w:top w:w="0" w:type="dxa"/>
            <w:left w:w="17" w:type="dxa"/>
            <w:bottom w:w="0" w:type="dxa"/>
            <w:right w:w="454" w:type="dxa"/>
          </w:tblCellMar>
        </w:tblPrEx>
        <w:trPr>
          <w:trHeight w:val="369" w:hRule="atLeast"/>
          <w:jc w:val="center"/>
        </w:trPr>
        <w:tc>
          <w:tcPr>
            <w:tcW w:w="2475"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民  航</w:t>
            </w:r>
          </w:p>
        </w:tc>
        <w:tc>
          <w:tcPr>
            <w:tcW w:w="1893"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1905"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7.78</w:t>
            </w:r>
          </w:p>
        </w:tc>
        <w:tc>
          <w:tcPr>
            <w:tcW w:w="1890" w:type="dxa"/>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24.9</w:t>
            </w:r>
          </w:p>
        </w:tc>
      </w:tr>
      <w:tr>
        <w:tblPrEx>
          <w:tblCellMar>
            <w:top w:w="0" w:type="dxa"/>
            <w:left w:w="17" w:type="dxa"/>
            <w:bottom w:w="0" w:type="dxa"/>
            <w:right w:w="454" w:type="dxa"/>
          </w:tblCellMar>
        </w:tblPrEx>
        <w:trPr>
          <w:trHeight w:val="369" w:hRule="atLeast"/>
          <w:jc w:val="center"/>
        </w:trPr>
        <w:tc>
          <w:tcPr>
            <w:tcW w:w="2475"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货物运输周转量</w:t>
            </w:r>
          </w:p>
        </w:tc>
        <w:tc>
          <w:tcPr>
            <w:tcW w:w="1893"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亿吨公里</w:t>
            </w:r>
          </w:p>
        </w:tc>
        <w:tc>
          <w:tcPr>
            <w:tcW w:w="1905"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1824.94</w:t>
            </w:r>
          </w:p>
        </w:tc>
        <w:tc>
          <w:tcPr>
            <w:tcW w:w="1890" w:type="dxa"/>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17.7</w:t>
            </w:r>
          </w:p>
        </w:tc>
      </w:tr>
      <w:tr>
        <w:tblPrEx>
          <w:tblCellMar>
            <w:top w:w="0" w:type="dxa"/>
            <w:left w:w="17" w:type="dxa"/>
            <w:bottom w:w="0" w:type="dxa"/>
            <w:right w:w="454" w:type="dxa"/>
          </w:tblCellMar>
        </w:tblPrEx>
        <w:trPr>
          <w:trHeight w:val="369" w:hRule="atLeast"/>
          <w:jc w:val="center"/>
        </w:trPr>
        <w:tc>
          <w:tcPr>
            <w:tcW w:w="2475"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铁  路</w:t>
            </w:r>
          </w:p>
        </w:tc>
        <w:tc>
          <w:tcPr>
            <w:tcW w:w="1893"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亿吨公里</w:t>
            </w:r>
          </w:p>
        </w:tc>
        <w:tc>
          <w:tcPr>
            <w:tcW w:w="1905"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438.25</w:t>
            </w:r>
          </w:p>
        </w:tc>
        <w:tc>
          <w:tcPr>
            <w:tcW w:w="1890" w:type="dxa"/>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-0.7</w:t>
            </w:r>
          </w:p>
        </w:tc>
      </w:tr>
      <w:tr>
        <w:tblPrEx>
          <w:tblCellMar>
            <w:top w:w="0" w:type="dxa"/>
            <w:left w:w="17" w:type="dxa"/>
            <w:bottom w:w="0" w:type="dxa"/>
            <w:right w:w="454" w:type="dxa"/>
          </w:tblCellMar>
        </w:tblPrEx>
        <w:trPr>
          <w:trHeight w:val="369" w:hRule="atLeast"/>
          <w:jc w:val="center"/>
        </w:trPr>
        <w:tc>
          <w:tcPr>
            <w:tcW w:w="2475"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公  路</w:t>
            </w:r>
          </w:p>
        </w:tc>
        <w:tc>
          <w:tcPr>
            <w:tcW w:w="1893"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亿吨公里</w:t>
            </w:r>
          </w:p>
        </w:tc>
        <w:tc>
          <w:tcPr>
            <w:tcW w:w="1905"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1377.57</w:t>
            </w:r>
          </w:p>
        </w:tc>
        <w:tc>
          <w:tcPr>
            <w:tcW w:w="1890" w:type="dxa"/>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25.1</w:t>
            </w:r>
          </w:p>
        </w:tc>
      </w:tr>
      <w:tr>
        <w:tblPrEx>
          <w:tblCellMar>
            <w:top w:w="0" w:type="dxa"/>
            <w:left w:w="17" w:type="dxa"/>
            <w:bottom w:w="0" w:type="dxa"/>
            <w:right w:w="454" w:type="dxa"/>
          </w:tblCellMar>
        </w:tblPrEx>
        <w:trPr>
          <w:trHeight w:val="369" w:hRule="atLeast"/>
          <w:jc w:val="center"/>
        </w:trPr>
        <w:tc>
          <w:tcPr>
            <w:tcW w:w="2475"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水  运</w:t>
            </w:r>
          </w:p>
        </w:tc>
        <w:tc>
          <w:tcPr>
            <w:tcW w:w="1893"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亿吨公里</w:t>
            </w:r>
          </w:p>
        </w:tc>
        <w:tc>
          <w:tcPr>
            <w:tcW w:w="1905"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7.92</w:t>
            </w:r>
          </w:p>
        </w:tc>
        <w:tc>
          <w:tcPr>
            <w:tcW w:w="1890" w:type="dxa"/>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10.3</w:t>
            </w:r>
          </w:p>
        </w:tc>
      </w:tr>
      <w:tr>
        <w:tblPrEx>
          <w:tblCellMar>
            <w:top w:w="0" w:type="dxa"/>
            <w:left w:w="17" w:type="dxa"/>
            <w:bottom w:w="0" w:type="dxa"/>
            <w:right w:w="454" w:type="dxa"/>
          </w:tblCellMar>
        </w:tblPrEx>
        <w:trPr>
          <w:trHeight w:val="369" w:hRule="atLeast"/>
          <w:jc w:val="center"/>
        </w:trPr>
        <w:tc>
          <w:tcPr>
            <w:tcW w:w="2475" w:type="dxa"/>
            <w:tcBorders>
              <w:bottom w:val="single" w:color="000000" w:sz="12" w:space="0"/>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民  航</w:t>
            </w:r>
          </w:p>
        </w:tc>
        <w:tc>
          <w:tcPr>
            <w:tcW w:w="1893" w:type="dxa"/>
            <w:tcBorders>
              <w:bottom w:val="single" w:color="000000" w:sz="12" w:space="0"/>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亿吨公里</w:t>
            </w:r>
          </w:p>
        </w:tc>
        <w:tc>
          <w:tcPr>
            <w:tcW w:w="1905" w:type="dxa"/>
            <w:tcBorders>
              <w:bottom w:val="single" w:color="000000" w:sz="12" w:space="0"/>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1.20</w:t>
            </w:r>
          </w:p>
        </w:tc>
        <w:tc>
          <w:tcPr>
            <w:tcW w:w="1890" w:type="dxa"/>
            <w:tcBorders>
              <w:bottom w:val="single" w:color="000000" w:sz="12"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eastAsia="宋体" w:cs="Times New Roman"/>
                <w:lang w:val="en-US" w:eastAsia="zh-CN"/>
              </w:rPr>
            </w:pPr>
            <w:r>
              <w:rPr>
                <w:rFonts w:hint="default" w:ascii="Times New Roman" w:hAnsi="Times New Roman" w:eastAsia="宋体" w:cs="Times New Roman"/>
                <w:i w:val="0"/>
                <w:color w:val="000000"/>
                <w:kern w:val="0"/>
                <w:sz w:val="24"/>
                <w:szCs w:val="24"/>
                <w:u w:val="none"/>
                <w:lang w:val="en-US" w:eastAsia="zh-CN" w:bidi="ar"/>
              </w:rPr>
              <w:t>23.2</w:t>
            </w:r>
          </w:p>
        </w:tc>
      </w:tr>
    </w:tbl>
    <w:p>
      <w:pPr>
        <w:keepNext w:val="0"/>
        <w:keepLines w:val="0"/>
        <w:pageBreakBefore w:val="0"/>
        <w:kinsoku/>
        <w:wordWrap/>
        <w:overflowPunct w:val="0"/>
        <w:topLinePunct w:val="0"/>
        <w:autoSpaceDE/>
        <w:autoSpaceDN/>
        <w:bidi w:val="0"/>
        <w:adjustRightInd/>
        <w:spacing w:line="560" w:lineRule="exact"/>
        <w:jc w:val="center"/>
        <w:rPr>
          <w:rFonts w:hint="default" w:ascii="Times New Roman" w:hAnsi="Times New Roman" w:eastAsia="方正黑体简体" w:cs="Times New Roman"/>
          <w:bCs/>
          <w:kern w:val="0"/>
          <w:sz w:val="28"/>
          <w:szCs w:val="28"/>
        </w:rPr>
      </w:pPr>
      <w:r>
        <w:rPr>
          <w:rFonts w:hint="default" w:ascii="Times New Roman" w:hAnsi="Times New Roman" w:eastAsia="方正黑体简体" w:cs="Times New Roman"/>
          <w:bCs/>
          <w:kern w:val="0"/>
          <w:sz w:val="28"/>
          <w:szCs w:val="28"/>
        </w:rPr>
        <w:t>表7  202</w:t>
      </w:r>
      <w:r>
        <w:rPr>
          <w:rFonts w:hint="default" w:ascii="Times New Roman" w:hAnsi="Times New Roman" w:eastAsia="方正黑体简体" w:cs="Times New Roman"/>
          <w:bCs/>
          <w:kern w:val="0"/>
          <w:sz w:val="28"/>
          <w:szCs w:val="28"/>
          <w:lang w:val="en-US" w:eastAsia="zh-CN"/>
        </w:rPr>
        <w:t>1</w:t>
      </w:r>
      <w:r>
        <w:rPr>
          <w:rFonts w:hint="default" w:ascii="Times New Roman" w:hAnsi="Times New Roman" w:eastAsia="方正黑体简体" w:cs="Times New Roman"/>
          <w:bCs/>
          <w:kern w:val="0"/>
          <w:sz w:val="28"/>
          <w:szCs w:val="28"/>
        </w:rPr>
        <w:t>年云南各种运输方式旅客运输量及增长速度</w:t>
      </w:r>
    </w:p>
    <w:tbl>
      <w:tblPr>
        <w:tblStyle w:val="13"/>
        <w:tblW w:w="0" w:type="auto"/>
        <w:jc w:val="center"/>
        <w:tblLayout w:type="fixed"/>
        <w:tblCellMar>
          <w:top w:w="0" w:type="dxa"/>
          <w:left w:w="17" w:type="dxa"/>
          <w:bottom w:w="0" w:type="dxa"/>
          <w:right w:w="454" w:type="dxa"/>
        </w:tblCellMar>
      </w:tblPr>
      <w:tblGrid>
        <w:gridCol w:w="2460"/>
        <w:gridCol w:w="1676"/>
        <w:gridCol w:w="2033"/>
        <w:gridCol w:w="1852"/>
      </w:tblGrid>
      <w:tr>
        <w:tblPrEx>
          <w:tblCellMar>
            <w:top w:w="0" w:type="dxa"/>
            <w:left w:w="17" w:type="dxa"/>
            <w:bottom w:w="0" w:type="dxa"/>
            <w:right w:w="454" w:type="dxa"/>
          </w:tblCellMar>
        </w:tblPrEx>
        <w:trPr>
          <w:trHeight w:val="555" w:hRule="atLeast"/>
          <w:jc w:val="center"/>
        </w:trPr>
        <w:tc>
          <w:tcPr>
            <w:tcW w:w="2460" w:type="dxa"/>
            <w:tcBorders>
              <w:top w:val="single" w:color="000000" w:sz="12" w:space="0"/>
              <w:bottom w:val="single" w:color="000000" w:sz="4" w:space="0"/>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指  标</w:t>
            </w:r>
          </w:p>
        </w:tc>
        <w:tc>
          <w:tcPr>
            <w:tcW w:w="1676" w:type="dxa"/>
            <w:tcBorders>
              <w:top w:val="single" w:color="000000" w:sz="12" w:space="0"/>
              <w:bottom w:val="single" w:color="000000" w:sz="4" w:space="0"/>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单  位</w:t>
            </w:r>
          </w:p>
        </w:tc>
        <w:tc>
          <w:tcPr>
            <w:tcW w:w="2033" w:type="dxa"/>
            <w:tcBorders>
              <w:top w:val="single" w:color="000000" w:sz="12" w:space="0"/>
              <w:bottom w:val="single" w:color="000000" w:sz="4" w:space="0"/>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绝对数</w:t>
            </w:r>
          </w:p>
        </w:tc>
        <w:tc>
          <w:tcPr>
            <w:tcW w:w="1852" w:type="dxa"/>
            <w:tcBorders>
              <w:top w:val="single" w:color="000000" w:sz="12" w:space="0"/>
              <w:bottom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比上年增长（%）</w:t>
            </w:r>
          </w:p>
        </w:tc>
      </w:tr>
      <w:tr>
        <w:tblPrEx>
          <w:tblCellMar>
            <w:top w:w="0" w:type="dxa"/>
            <w:left w:w="17" w:type="dxa"/>
            <w:bottom w:w="0" w:type="dxa"/>
            <w:right w:w="454" w:type="dxa"/>
          </w:tblCellMar>
        </w:tblPrEx>
        <w:trPr>
          <w:trHeight w:val="330" w:hRule="atLeast"/>
          <w:jc w:val="center"/>
        </w:trPr>
        <w:tc>
          <w:tcPr>
            <w:tcW w:w="2460"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sz w:val="22"/>
              </w:rPr>
            </w:pPr>
            <w:r>
              <w:rPr>
                <w:rFonts w:hint="default" w:ascii="Times New Roman" w:hAnsi="Times New Roman" w:cs="Times New Roman"/>
                <w:kern w:val="0"/>
                <w:sz w:val="22"/>
              </w:rPr>
              <w:t>旅客运输总量</w:t>
            </w:r>
          </w:p>
        </w:tc>
        <w:tc>
          <w:tcPr>
            <w:tcW w:w="1676"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w:t>
            </w:r>
          </w:p>
        </w:tc>
        <w:tc>
          <w:tcPr>
            <w:tcW w:w="2033"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2.27</w:t>
            </w:r>
          </w:p>
        </w:tc>
        <w:tc>
          <w:tcPr>
            <w:tcW w:w="1852" w:type="dxa"/>
            <w:tcBorders>
              <w:top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-12.7</w:t>
            </w:r>
          </w:p>
        </w:tc>
      </w:tr>
      <w:tr>
        <w:tblPrEx>
          <w:tblCellMar>
            <w:top w:w="0" w:type="dxa"/>
            <w:left w:w="17" w:type="dxa"/>
            <w:bottom w:w="0" w:type="dxa"/>
            <w:right w:w="454" w:type="dxa"/>
          </w:tblCellMar>
        </w:tblPrEx>
        <w:trPr>
          <w:trHeight w:val="330" w:hRule="atLeast"/>
          <w:jc w:val="center"/>
        </w:trPr>
        <w:tc>
          <w:tcPr>
            <w:tcW w:w="2460"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ind w:firstLine="220" w:firstLineChars="100"/>
              <w:jc w:val="center"/>
              <w:textAlignment w:val="center"/>
              <w:rPr>
                <w:rFonts w:hint="default" w:ascii="Times New Roman" w:hAnsi="Times New Roman" w:cs="Times New Roman"/>
                <w:sz w:val="22"/>
              </w:rPr>
            </w:pPr>
            <w:r>
              <w:rPr>
                <w:rFonts w:hint="default" w:ascii="Times New Roman" w:hAnsi="Times New Roman" w:cs="Times New Roman"/>
                <w:kern w:val="0"/>
                <w:sz w:val="22"/>
              </w:rPr>
              <w:t>铁  路</w:t>
            </w:r>
          </w:p>
        </w:tc>
        <w:tc>
          <w:tcPr>
            <w:tcW w:w="1676"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w:t>
            </w:r>
          </w:p>
        </w:tc>
        <w:tc>
          <w:tcPr>
            <w:tcW w:w="2033"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0.61</w:t>
            </w:r>
          </w:p>
        </w:tc>
        <w:tc>
          <w:tcPr>
            <w:tcW w:w="1852" w:type="dxa"/>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15.6</w:t>
            </w:r>
          </w:p>
        </w:tc>
      </w:tr>
      <w:tr>
        <w:tblPrEx>
          <w:tblCellMar>
            <w:top w:w="0" w:type="dxa"/>
            <w:left w:w="17" w:type="dxa"/>
            <w:bottom w:w="0" w:type="dxa"/>
            <w:right w:w="454" w:type="dxa"/>
          </w:tblCellMar>
        </w:tblPrEx>
        <w:trPr>
          <w:trHeight w:val="330" w:hRule="atLeast"/>
          <w:jc w:val="center"/>
        </w:trPr>
        <w:tc>
          <w:tcPr>
            <w:tcW w:w="2460"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ind w:firstLine="220" w:firstLineChars="100"/>
              <w:jc w:val="center"/>
              <w:textAlignment w:val="center"/>
              <w:rPr>
                <w:rFonts w:hint="default" w:ascii="Times New Roman" w:hAnsi="Times New Roman" w:cs="Times New Roman"/>
                <w:sz w:val="22"/>
              </w:rPr>
            </w:pPr>
            <w:r>
              <w:rPr>
                <w:rFonts w:hint="default" w:ascii="Times New Roman" w:hAnsi="Times New Roman" w:cs="Times New Roman"/>
                <w:kern w:val="0"/>
                <w:sz w:val="22"/>
              </w:rPr>
              <w:t>公  路</w:t>
            </w:r>
          </w:p>
        </w:tc>
        <w:tc>
          <w:tcPr>
            <w:tcW w:w="1676"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w:t>
            </w:r>
          </w:p>
        </w:tc>
        <w:tc>
          <w:tcPr>
            <w:tcW w:w="2033"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1.50</w:t>
            </w:r>
          </w:p>
        </w:tc>
        <w:tc>
          <w:tcPr>
            <w:tcW w:w="1852" w:type="dxa"/>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-22.1</w:t>
            </w:r>
          </w:p>
        </w:tc>
      </w:tr>
      <w:tr>
        <w:tblPrEx>
          <w:tblCellMar>
            <w:top w:w="0" w:type="dxa"/>
            <w:left w:w="17" w:type="dxa"/>
            <w:bottom w:w="0" w:type="dxa"/>
            <w:right w:w="454" w:type="dxa"/>
          </w:tblCellMar>
        </w:tblPrEx>
        <w:trPr>
          <w:trHeight w:val="330" w:hRule="atLeast"/>
          <w:jc w:val="center"/>
        </w:trPr>
        <w:tc>
          <w:tcPr>
            <w:tcW w:w="2460"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ind w:firstLine="220" w:firstLineChars="100"/>
              <w:jc w:val="center"/>
              <w:textAlignment w:val="center"/>
              <w:rPr>
                <w:rFonts w:hint="default" w:ascii="Times New Roman" w:hAnsi="Times New Roman" w:cs="Times New Roman"/>
                <w:sz w:val="22"/>
              </w:rPr>
            </w:pPr>
            <w:r>
              <w:rPr>
                <w:rFonts w:hint="default" w:ascii="Times New Roman" w:hAnsi="Times New Roman" w:cs="Times New Roman"/>
                <w:kern w:val="0"/>
                <w:sz w:val="22"/>
              </w:rPr>
              <w:t>水  运</w:t>
            </w:r>
          </w:p>
        </w:tc>
        <w:tc>
          <w:tcPr>
            <w:tcW w:w="1676"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w:t>
            </w:r>
          </w:p>
        </w:tc>
        <w:tc>
          <w:tcPr>
            <w:tcW w:w="2033"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0.06</w:t>
            </w:r>
          </w:p>
        </w:tc>
        <w:tc>
          <w:tcPr>
            <w:tcW w:w="1852" w:type="dxa"/>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lang w:val="en-US"/>
              </w:rPr>
            </w:pPr>
            <w:r>
              <w:rPr>
                <w:rFonts w:hint="default" w:ascii="Times New Roman" w:hAnsi="Times New Roman" w:eastAsia="宋体" w:cs="Times New Roman"/>
                <w:i w:val="0"/>
                <w:color w:val="000000"/>
                <w:kern w:val="0"/>
                <w:sz w:val="24"/>
                <w:szCs w:val="24"/>
                <w:u w:val="none"/>
                <w:lang w:val="en-US" w:eastAsia="zh-CN" w:bidi="ar"/>
              </w:rPr>
              <w:t>25</w:t>
            </w:r>
            <w:r>
              <w:rPr>
                <w:rFonts w:hint="eastAsia" w:ascii="Times New Roman" w:hAnsi="Times New Roman" w:cs="Times New Roman"/>
                <w:i w:val="0"/>
                <w:color w:val="000000"/>
                <w:kern w:val="0"/>
                <w:sz w:val="24"/>
                <w:szCs w:val="24"/>
                <w:u w:val="none"/>
                <w:lang w:val="en-US" w:eastAsia="zh-CN" w:bidi="ar"/>
              </w:rPr>
              <w:t>.0</w:t>
            </w:r>
          </w:p>
        </w:tc>
      </w:tr>
      <w:tr>
        <w:tblPrEx>
          <w:tblCellMar>
            <w:top w:w="0" w:type="dxa"/>
            <w:left w:w="17" w:type="dxa"/>
            <w:bottom w:w="0" w:type="dxa"/>
            <w:right w:w="454" w:type="dxa"/>
          </w:tblCellMar>
        </w:tblPrEx>
        <w:trPr>
          <w:trHeight w:val="330" w:hRule="atLeast"/>
          <w:jc w:val="center"/>
        </w:trPr>
        <w:tc>
          <w:tcPr>
            <w:tcW w:w="2460"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ind w:firstLine="220" w:firstLineChars="100"/>
              <w:jc w:val="center"/>
              <w:textAlignment w:val="center"/>
              <w:rPr>
                <w:rFonts w:hint="default" w:ascii="Times New Roman" w:hAnsi="Times New Roman" w:cs="Times New Roman"/>
                <w:sz w:val="22"/>
              </w:rPr>
            </w:pPr>
            <w:r>
              <w:rPr>
                <w:rFonts w:hint="default" w:ascii="Times New Roman" w:hAnsi="Times New Roman" w:cs="Times New Roman"/>
                <w:kern w:val="0"/>
                <w:sz w:val="22"/>
              </w:rPr>
              <w:t>民  航</w:t>
            </w:r>
          </w:p>
        </w:tc>
        <w:tc>
          <w:tcPr>
            <w:tcW w:w="1676"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sz w:val="22"/>
              </w:rPr>
            </w:pPr>
            <w:r>
              <w:rPr>
                <w:rFonts w:hint="default" w:ascii="Times New Roman" w:hAnsi="Times New Roman" w:cs="Times New Roman"/>
                <w:color w:val="000000"/>
                <w:kern w:val="0"/>
                <w:sz w:val="22"/>
              </w:rPr>
              <w:t>亿</w:t>
            </w:r>
            <w:r>
              <w:rPr>
                <w:rFonts w:hint="default" w:ascii="Times New Roman" w:hAnsi="Times New Roman" w:cs="Times New Roman"/>
                <w:kern w:val="0"/>
                <w:sz w:val="22"/>
              </w:rPr>
              <w:t>人</w:t>
            </w:r>
          </w:p>
        </w:tc>
        <w:tc>
          <w:tcPr>
            <w:tcW w:w="2033"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lang w:val="en-US"/>
              </w:rPr>
            </w:pPr>
            <w:r>
              <w:rPr>
                <w:rFonts w:hint="default" w:ascii="Times New Roman" w:hAnsi="Times New Roman" w:eastAsia="宋体" w:cs="Times New Roman"/>
                <w:i w:val="0"/>
                <w:color w:val="000000"/>
                <w:kern w:val="0"/>
                <w:sz w:val="24"/>
                <w:szCs w:val="24"/>
                <w:u w:val="none"/>
                <w:lang w:val="en-US" w:eastAsia="zh-CN" w:bidi="ar"/>
              </w:rPr>
              <w:t>0.</w:t>
            </w:r>
            <w:r>
              <w:rPr>
                <w:rFonts w:hint="default" w:ascii="Times New Roman" w:hAnsi="Times New Roman" w:cs="Times New Roman"/>
                <w:i w:val="0"/>
                <w:color w:val="000000"/>
                <w:kern w:val="0"/>
                <w:sz w:val="24"/>
                <w:szCs w:val="24"/>
                <w:u w:val="none"/>
                <w:lang w:val="en-US" w:eastAsia="zh-CN" w:bidi="ar"/>
              </w:rPr>
              <w:t>1</w:t>
            </w:r>
            <w:r>
              <w:rPr>
                <w:rFonts w:hint="eastAsia" w:ascii="Times New Roman" w:hAnsi="Times New Roman" w:cs="Times New Roman"/>
                <w:i w:val="0"/>
                <w:color w:val="000000"/>
                <w:kern w:val="0"/>
                <w:sz w:val="24"/>
                <w:szCs w:val="24"/>
                <w:u w:val="none"/>
                <w:lang w:val="en-US" w:eastAsia="zh-CN" w:bidi="ar"/>
              </w:rPr>
              <w:t>0</w:t>
            </w:r>
          </w:p>
        </w:tc>
        <w:tc>
          <w:tcPr>
            <w:tcW w:w="1852" w:type="dxa"/>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3.1</w:t>
            </w:r>
          </w:p>
        </w:tc>
      </w:tr>
      <w:tr>
        <w:tblPrEx>
          <w:tblCellMar>
            <w:top w:w="0" w:type="dxa"/>
            <w:left w:w="17" w:type="dxa"/>
            <w:bottom w:w="0" w:type="dxa"/>
            <w:right w:w="454" w:type="dxa"/>
          </w:tblCellMar>
        </w:tblPrEx>
        <w:trPr>
          <w:trHeight w:val="330" w:hRule="atLeast"/>
          <w:jc w:val="center"/>
        </w:trPr>
        <w:tc>
          <w:tcPr>
            <w:tcW w:w="2460"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sz w:val="22"/>
              </w:rPr>
            </w:pPr>
            <w:r>
              <w:rPr>
                <w:rFonts w:hint="default" w:ascii="Times New Roman" w:hAnsi="Times New Roman" w:cs="Times New Roman"/>
                <w:kern w:val="0"/>
                <w:sz w:val="22"/>
              </w:rPr>
              <w:t>旅客运输周转量</w:t>
            </w:r>
          </w:p>
        </w:tc>
        <w:tc>
          <w:tcPr>
            <w:tcW w:w="1676"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亿人公里</w:t>
            </w:r>
          </w:p>
        </w:tc>
        <w:tc>
          <w:tcPr>
            <w:tcW w:w="2033"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399.10</w:t>
            </w:r>
          </w:p>
        </w:tc>
        <w:tc>
          <w:tcPr>
            <w:tcW w:w="1852" w:type="dxa"/>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6.1</w:t>
            </w:r>
          </w:p>
        </w:tc>
      </w:tr>
      <w:tr>
        <w:tblPrEx>
          <w:tblCellMar>
            <w:top w:w="0" w:type="dxa"/>
            <w:left w:w="17" w:type="dxa"/>
            <w:bottom w:w="0" w:type="dxa"/>
            <w:right w:w="454" w:type="dxa"/>
          </w:tblCellMar>
        </w:tblPrEx>
        <w:trPr>
          <w:trHeight w:val="330" w:hRule="atLeast"/>
          <w:jc w:val="center"/>
        </w:trPr>
        <w:tc>
          <w:tcPr>
            <w:tcW w:w="2460"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ind w:firstLine="220" w:firstLineChars="100"/>
              <w:jc w:val="center"/>
              <w:textAlignment w:val="center"/>
              <w:rPr>
                <w:rFonts w:hint="default" w:ascii="Times New Roman" w:hAnsi="Times New Roman" w:cs="Times New Roman"/>
                <w:sz w:val="22"/>
              </w:rPr>
            </w:pPr>
            <w:r>
              <w:rPr>
                <w:rFonts w:hint="default" w:ascii="Times New Roman" w:hAnsi="Times New Roman" w:cs="Times New Roman"/>
                <w:kern w:val="0"/>
                <w:sz w:val="22"/>
              </w:rPr>
              <w:t>铁  路</w:t>
            </w:r>
          </w:p>
        </w:tc>
        <w:tc>
          <w:tcPr>
            <w:tcW w:w="1676"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亿人公里</w:t>
            </w:r>
          </w:p>
        </w:tc>
        <w:tc>
          <w:tcPr>
            <w:tcW w:w="2033"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136.28</w:t>
            </w:r>
          </w:p>
        </w:tc>
        <w:tc>
          <w:tcPr>
            <w:tcW w:w="1852" w:type="dxa"/>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16.1</w:t>
            </w:r>
          </w:p>
        </w:tc>
      </w:tr>
      <w:tr>
        <w:tblPrEx>
          <w:tblCellMar>
            <w:top w:w="0" w:type="dxa"/>
            <w:left w:w="17" w:type="dxa"/>
            <w:bottom w:w="0" w:type="dxa"/>
            <w:right w:w="454" w:type="dxa"/>
          </w:tblCellMar>
        </w:tblPrEx>
        <w:trPr>
          <w:trHeight w:val="330" w:hRule="atLeast"/>
          <w:jc w:val="center"/>
        </w:trPr>
        <w:tc>
          <w:tcPr>
            <w:tcW w:w="2460"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ind w:firstLine="220" w:firstLineChars="100"/>
              <w:jc w:val="center"/>
              <w:textAlignment w:val="center"/>
              <w:rPr>
                <w:rFonts w:hint="default" w:ascii="Times New Roman" w:hAnsi="Times New Roman" w:cs="Times New Roman"/>
                <w:sz w:val="22"/>
              </w:rPr>
            </w:pPr>
            <w:r>
              <w:rPr>
                <w:rFonts w:hint="default" w:ascii="Times New Roman" w:hAnsi="Times New Roman" w:cs="Times New Roman"/>
                <w:kern w:val="0"/>
                <w:sz w:val="22"/>
              </w:rPr>
              <w:t>公  路</w:t>
            </w:r>
          </w:p>
        </w:tc>
        <w:tc>
          <w:tcPr>
            <w:tcW w:w="1676"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亿人公里</w:t>
            </w:r>
          </w:p>
        </w:tc>
        <w:tc>
          <w:tcPr>
            <w:tcW w:w="2033"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138.03</w:t>
            </w:r>
          </w:p>
        </w:tc>
        <w:tc>
          <w:tcPr>
            <w:tcW w:w="1852" w:type="dxa"/>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-0.3</w:t>
            </w:r>
          </w:p>
        </w:tc>
      </w:tr>
      <w:tr>
        <w:tblPrEx>
          <w:tblCellMar>
            <w:top w:w="0" w:type="dxa"/>
            <w:left w:w="17" w:type="dxa"/>
            <w:bottom w:w="0" w:type="dxa"/>
            <w:right w:w="454" w:type="dxa"/>
          </w:tblCellMar>
        </w:tblPrEx>
        <w:trPr>
          <w:trHeight w:val="330" w:hRule="atLeast"/>
          <w:jc w:val="center"/>
        </w:trPr>
        <w:tc>
          <w:tcPr>
            <w:tcW w:w="2460" w:type="dxa"/>
            <w:tcBorders>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ind w:firstLine="220" w:firstLineChars="100"/>
              <w:jc w:val="center"/>
              <w:textAlignment w:val="center"/>
              <w:rPr>
                <w:rFonts w:hint="default" w:ascii="Times New Roman" w:hAnsi="Times New Roman" w:cs="Times New Roman"/>
                <w:sz w:val="22"/>
              </w:rPr>
            </w:pPr>
            <w:r>
              <w:rPr>
                <w:rFonts w:hint="default" w:ascii="Times New Roman" w:hAnsi="Times New Roman" w:cs="Times New Roman"/>
                <w:kern w:val="0"/>
                <w:sz w:val="22"/>
              </w:rPr>
              <w:t>水  运</w:t>
            </w:r>
          </w:p>
        </w:tc>
        <w:tc>
          <w:tcPr>
            <w:tcW w:w="1676" w:type="dxa"/>
            <w:tcBorders>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亿人公里</w:t>
            </w:r>
          </w:p>
        </w:tc>
        <w:tc>
          <w:tcPr>
            <w:tcW w:w="2033" w:type="dxa"/>
            <w:tcBorders>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0.97</w:t>
            </w:r>
          </w:p>
        </w:tc>
        <w:tc>
          <w:tcPr>
            <w:tcW w:w="1852" w:type="dxa"/>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30.2</w:t>
            </w:r>
          </w:p>
        </w:tc>
      </w:tr>
      <w:tr>
        <w:tblPrEx>
          <w:tblCellMar>
            <w:top w:w="0" w:type="dxa"/>
            <w:left w:w="17" w:type="dxa"/>
            <w:bottom w:w="0" w:type="dxa"/>
            <w:right w:w="454" w:type="dxa"/>
          </w:tblCellMar>
        </w:tblPrEx>
        <w:trPr>
          <w:trHeight w:val="330" w:hRule="atLeast"/>
          <w:jc w:val="center"/>
        </w:trPr>
        <w:tc>
          <w:tcPr>
            <w:tcW w:w="2460" w:type="dxa"/>
            <w:tcBorders>
              <w:bottom w:val="single" w:color="000000" w:sz="12" w:space="0"/>
              <w:right w:val="single" w:color="000000" w:sz="4" w:space="0"/>
            </w:tcBorders>
            <w:shd w:val="clear" w:color="auto" w:fill="FFFFFF"/>
            <w:noWrap w:val="0"/>
            <w:vAlign w:val="center"/>
          </w:tcPr>
          <w:p>
            <w:pPr>
              <w:keepNext w:val="0"/>
              <w:keepLines w:val="0"/>
              <w:pageBreakBefore w:val="0"/>
              <w:kinsoku/>
              <w:wordWrap/>
              <w:overflowPunct w:val="0"/>
              <w:topLinePunct w:val="0"/>
              <w:autoSpaceDE/>
              <w:autoSpaceDN/>
              <w:bidi w:val="0"/>
              <w:adjustRightInd/>
              <w:snapToGrid/>
              <w:spacing w:line="360" w:lineRule="exact"/>
              <w:ind w:firstLine="220" w:firstLineChars="100"/>
              <w:jc w:val="center"/>
              <w:textAlignment w:val="center"/>
              <w:rPr>
                <w:rFonts w:hint="default" w:ascii="Times New Roman" w:hAnsi="Times New Roman" w:cs="Times New Roman"/>
                <w:sz w:val="22"/>
              </w:rPr>
            </w:pPr>
            <w:r>
              <w:rPr>
                <w:rFonts w:hint="default" w:ascii="Times New Roman" w:hAnsi="Times New Roman" w:cs="Times New Roman"/>
                <w:kern w:val="0"/>
                <w:sz w:val="22"/>
              </w:rPr>
              <w:t>民  航</w:t>
            </w:r>
          </w:p>
        </w:tc>
        <w:tc>
          <w:tcPr>
            <w:tcW w:w="1676" w:type="dxa"/>
            <w:tcBorders>
              <w:bottom w:val="single" w:color="000000" w:sz="12" w:space="0"/>
              <w:right w:val="single" w:color="000000" w:sz="4" w:space="0"/>
            </w:tcBorders>
            <w:shd w:val="clear" w:color="auto" w:fill="FFFFFF"/>
            <w:noWrap w:val="0"/>
            <w:tcMar>
              <w:right w:w="0" w:type="dxa"/>
            </w:tcMar>
            <w:vAlign w:val="center"/>
          </w:tcPr>
          <w:p>
            <w:pPr>
              <w:keepNext w:val="0"/>
              <w:keepLines w:val="0"/>
              <w:pageBreakBefore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亿人公里</w:t>
            </w:r>
          </w:p>
        </w:tc>
        <w:tc>
          <w:tcPr>
            <w:tcW w:w="2033" w:type="dxa"/>
            <w:tcBorders>
              <w:bottom w:val="single" w:color="000000" w:sz="12" w:space="0"/>
              <w:right w:val="single" w:color="000000" w:sz="4"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123.82</w:t>
            </w:r>
          </w:p>
        </w:tc>
        <w:tc>
          <w:tcPr>
            <w:tcW w:w="1852" w:type="dxa"/>
            <w:tcBorders>
              <w:bottom w:val="single" w:color="000000" w:sz="12" w:space="0"/>
            </w:tcBorders>
            <w:shd w:val="clear" w:color="auto" w:fill="FFFFFF"/>
            <w:noWrap w:val="0"/>
            <w:vAlign w:val="bottom"/>
          </w:tcPr>
          <w:p>
            <w:pPr>
              <w:keepNext w:val="0"/>
              <w:keepLines w:val="0"/>
              <w:pageBreakBefore w:val="0"/>
              <w:widowControl/>
              <w:suppressLineNumbers w:val="0"/>
              <w:kinsoku/>
              <w:wordWrap/>
              <w:overflowPunct w:val="0"/>
              <w:topLinePunct w:val="0"/>
              <w:autoSpaceDE/>
              <w:autoSpaceDN/>
              <w:bidi w:val="0"/>
              <w:adjustRightInd/>
              <w:snapToGrid/>
              <w:spacing w:line="360" w:lineRule="exact"/>
              <w:jc w:val="right"/>
              <w:textAlignment w:val="bottom"/>
              <w:rPr>
                <w:rFonts w:hint="default" w:ascii="Times New Roman" w:hAnsi="Times New Roman" w:cs="Times New Roman"/>
                <w:sz w:val="22"/>
              </w:rPr>
            </w:pPr>
            <w:r>
              <w:rPr>
                <w:rFonts w:hint="default" w:ascii="Times New Roman" w:hAnsi="Times New Roman" w:eastAsia="宋体" w:cs="Times New Roman"/>
                <w:i w:val="0"/>
                <w:color w:val="000000"/>
                <w:kern w:val="0"/>
                <w:sz w:val="24"/>
                <w:szCs w:val="24"/>
                <w:u w:val="none"/>
                <w:lang w:val="en-US" w:eastAsia="zh-CN" w:bidi="ar"/>
              </w:rPr>
              <w:t>3.7</w:t>
            </w:r>
          </w:p>
        </w:tc>
      </w:tr>
    </w:tbl>
    <w:p>
      <w:pPr>
        <w:keepNext w:val="0"/>
        <w:keepLines w:val="0"/>
        <w:pageBreakBefore w:val="0"/>
        <w:kinsoku/>
        <w:wordWrap/>
        <w:overflowPunct w:val="0"/>
        <w:topLinePunct w:val="0"/>
        <w:autoSpaceDE/>
        <w:autoSpaceDN/>
        <w:bidi w:val="0"/>
        <w:adjustRightInd/>
        <w:spacing w:before="156" w:beforeLines="50"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年末全省民用汽车保有量</w:t>
      </w:r>
      <w:r>
        <w:rPr>
          <w:rFonts w:hint="default" w:ascii="Times New Roman" w:hAnsi="Times New Roman" w:eastAsia="方正仿宋简体" w:cs="Times New Roman"/>
          <w:sz w:val="32"/>
          <w:szCs w:val="32"/>
          <w:lang w:val="en-US" w:eastAsia="zh-CN"/>
        </w:rPr>
        <w:t>862.01</w:t>
      </w:r>
      <w:r>
        <w:rPr>
          <w:rFonts w:hint="default" w:ascii="Times New Roman" w:hAnsi="Times New Roman" w:eastAsia="方正仿宋简体" w:cs="Times New Roman"/>
          <w:sz w:val="32"/>
          <w:szCs w:val="32"/>
        </w:rPr>
        <w:t>万辆（包括三轮汽车和低速货车</w:t>
      </w:r>
      <w:r>
        <w:rPr>
          <w:rFonts w:hint="default" w:ascii="Times New Roman" w:hAnsi="Times New Roman" w:eastAsia="方正仿宋简体" w:cs="Times New Roman"/>
          <w:sz w:val="32"/>
          <w:szCs w:val="32"/>
          <w:lang w:val="en-US" w:eastAsia="zh-CN"/>
        </w:rPr>
        <w:t>1.18</w:t>
      </w:r>
      <w:r>
        <w:rPr>
          <w:rFonts w:hint="default" w:ascii="Times New Roman" w:hAnsi="Times New Roman" w:eastAsia="方正仿宋简体" w:cs="Times New Roman"/>
          <w:sz w:val="32"/>
          <w:szCs w:val="32"/>
        </w:rPr>
        <w:t>万辆），比上年末增长</w:t>
      </w:r>
      <w:r>
        <w:rPr>
          <w:rFonts w:hint="default" w:ascii="Times New Roman" w:hAnsi="Times New Roman" w:eastAsia="方正仿宋简体" w:cs="Times New Roman"/>
          <w:sz w:val="32"/>
          <w:szCs w:val="32"/>
          <w:lang w:val="en-US" w:eastAsia="zh-CN"/>
        </w:rPr>
        <w:t>7.3</w:t>
      </w:r>
      <w:r>
        <w:rPr>
          <w:rFonts w:hint="default" w:ascii="Times New Roman" w:hAnsi="Times New Roman" w:eastAsia="方正仿宋简体" w:cs="Times New Roman"/>
          <w:sz w:val="32"/>
          <w:szCs w:val="32"/>
        </w:rPr>
        <w:t>%，其中私人汽车保有量</w:t>
      </w:r>
      <w:r>
        <w:rPr>
          <w:rFonts w:hint="default" w:ascii="Times New Roman" w:hAnsi="Times New Roman" w:eastAsia="方正仿宋简体" w:cs="Times New Roman"/>
          <w:sz w:val="32"/>
          <w:szCs w:val="32"/>
          <w:lang w:val="en-US" w:eastAsia="zh-CN"/>
        </w:rPr>
        <w:t>797.53</w:t>
      </w:r>
      <w:r>
        <w:rPr>
          <w:rFonts w:hint="default" w:ascii="Times New Roman" w:hAnsi="Times New Roman" w:eastAsia="方正仿宋简体" w:cs="Times New Roman"/>
          <w:sz w:val="32"/>
          <w:szCs w:val="32"/>
        </w:rPr>
        <w:t>万辆，增长</w:t>
      </w:r>
      <w:r>
        <w:rPr>
          <w:rFonts w:hint="default" w:ascii="Times New Roman" w:hAnsi="Times New Roman" w:eastAsia="方正仿宋简体" w:cs="Times New Roman"/>
          <w:sz w:val="32"/>
          <w:szCs w:val="32"/>
          <w:lang w:val="en-US" w:eastAsia="zh-CN"/>
        </w:rPr>
        <w:t>7.7</w:t>
      </w:r>
      <w:r>
        <w:rPr>
          <w:rFonts w:hint="default" w:ascii="Times New Roman" w:hAnsi="Times New Roman" w:eastAsia="方正仿宋简体" w:cs="Times New Roman"/>
          <w:sz w:val="32"/>
          <w:szCs w:val="32"/>
        </w:rPr>
        <w:t>%。民用轿车保有量</w:t>
      </w:r>
      <w:r>
        <w:rPr>
          <w:rFonts w:hint="default" w:ascii="Times New Roman" w:hAnsi="Times New Roman" w:eastAsia="方正仿宋简体" w:cs="Times New Roman"/>
          <w:sz w:val="32"/>
          <w:szCs w:val="32"/>
          <w:lang w:val="en-US" w:eastAsia="zh-CN"/>
        </w:rPr>
        <w:t>372.56</w:t>
      </w:r>
      <w:r>
        <w:rPr>
          <w:rFonts w:hint="default" w:ascii="Times New Roman" w:hAnsi="Times New Roman" w:eastAsia="方正仿宋简体" w:cs="Times New Roman"/>
          <w:sz w:val="32"/>
          <w:szCs w:val="32"/>
        </w:rPr>
        <w:t>万辆，增长</w:t>
      </w:r>
      <w:r>
        <w:rPr>
          <w:rFonts w:hint="default" w:ascii="Times New Roman" w:hAnsi="Times New Roman" w:eastAsia="方正仿宋简体" w:cs="Times New Roman"/>
          <w:sz w:val="32"/>
          <w:szCs w:val="32"/>
          <w:lang w:val="en-US" w:eastAsia="zh-CN"/>
        </w:rPr>
        <w:t>7.5</w:t>
      </w:r>
      <w:r>
        <w:rPr>
          <w:rFonts w:hint="default" w:ascii="Times New Roman" w:hAnsi="Times New Roman" w:eastAsia="方正仿宋简体" w:cs="Times New Roman"/>
          <w:sz w:val="32"/>
          <w:szCs w:val="32"/>
        </w:rPr>
        <w:t>%，其中私人轿车保有量</w:t>
      </w:r>
      <w:r>
        <w:rPr>
          <w:rFonts w:hint="default" w:ascii="Times New Roman" w:hAnsi="Times New Roman" w:eastAsia="方正仿宋简体" w:cs="Times New Roman"/>
          <w:sz w:val="32"/>
          <w:szCs w:val="32"/>
          <w:lang w:val="en-US" w:eastAsia="zh-CN"/>
        </w:rPr>
        <w:t>354.35</w:t>
      </w:r>
      <w:r>
        <w:rPr>
          <w:rFonts w:hint="default" w:ascii="Times New Roman" w:hAnsi="Times New Roman" w:eastAsia="方正仿宋简体" w:cs="Times New Roman"/>
          <w:sz w:val="32"/>
          <w:szCs w:val="32"/>
        </w:rPr>
        <w:t>万辆，增长</w:t>
      </w:r>
      <w:r>
        <w:rPr>
          <w:rFonts w:hint="default" w:ascii="Times New Roman" w:hAnsi="Times New Roman" w:eastAsia="方正仿宋简体" w:cs="Times New Roman"/>
          <w:sz w:val="32"/>
          <w:szCs w:val="32"/>
          <w:lang w:val="en-US" w:eastAsia="zh-CN"/>
        </w:rPr>
        <w:t>8.1</w:t>
      </w:r>
      <w:r>
        <w:rPr>
          <w:rFonts w:hint="default" w:ascii="Times New Roman" w:hAnsi="Times New Roman" w:eastAsia="方正仿宋简体" w:cs="Times New Roman"/>
          <w:sz w:val="32"/>
          <w:szCs w:val="32"/>
        </w:rPr>
        <w:t>%。</w:t>
      </w:r>
    </w:p>
    <w:p>
      <w:pPr>
        <w:keepNext w:val="0"/>
        <w:keepLines w:val="0"/>
        <w:pageBreakBefore w:val="0"/>
        <w:kinsoku/>
        <w:wordWrap/>
        <w:overflowPunct w:val="0"/>
        <w:topLinePunct w:val="0"/>
        <w:autoSpaceDE/>
        <w:autoSpaceDN/>
        <w:bidi w:val="0"/>
        <w:adjustRightInd/>
        <w:spacing w:after="156" w:afterLines="50" w:line="560" w:lineRule="exact"/>
        <w:ind w:firstLine="640" w:firstLineChars="200"/>
        <w:jc w:val="both"/>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全年完成邮政业务总量</w:t>
      </w:r>
      <w:r>
        <w:rPr>
          <w:rStyle w:val="15"/>
          <w:rFonts w:hint="default" w:ascii="Times New Roman" w:hAnsi="Times New Roman" w:eastAsia="方正仿宋简体" w:cs="Times New Roman"/>
          <w:color w:val="000000"/>
          <w:sz w:val="32"/>
          <w:szCs w:val="32"/>
        </w:rPr>
        <w:t>[</w:t>
      </w:r>
      <w:r>
        <w:rPr>
          <w:rStyle w:val="15"/>
          <w:rFonts w:hint="default" w:ascii="Times New Roman" w:hAnsi="Times New Roman" w:eastAsia="方正仿宋简体" w:cs="Times New Roman"/>
          <w:color w:val="000000"/>
          <w:sz w:val="32"/>
          <w:szCs w:val="32"/>
        </w:rPr>
        <w:endnoteReference w:id="11"/>
      </w:r>
      <w:r>
        <w:rPr>
          <w:rStyle w:val="15"/>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val="en-US" w:eastAsia="zh-CN"/>
        </w:rPr>
        <w:t>125.15</w:t>
      </w:r>
      <w:r>
        <w:rPr>
          <w:rFonts w:hint="default" w:ascii="Times New Roman" w:hAnsi="Times New Roman" w:eastAsia="方正仿宋简体" w:cs="Times New Roman"/>
          <w:color w:val="000000"/>
          <w:sz w:val="32"/>
          <w:szCs w:val="32"/>
        </w:rPr>
        <w:t>亿元，</w:t>
      </w:r>
      <w:r>
        <w:rPr>
          <w:rFonts w:hint="eastAsia" w:ascii="Times New Roman" w:hAnsi="Times New Roman" w:eastAsia="方正仿宋简体" w:cs="Times New Roman"/>
          <w:color w:val="000000"/>
          <w:sz w:val="32"/>
          <w:szCs w:val="32"/>
          <w:lang w:eastAsia="zh-CN"/>
        </w:rPr>
        <w:t>比上年</w:t>
      </w:r>
      <w:r>
        <w:rPr>
          <w:rFonts w:hint="default" w:ascii="Times New Roman" w:hAnsi="Times New Roman" w:eastAsia="方正仿宋简体" w:cs="Times New Roman"/>
          <w:color w:val="000000"/>
          <w:sz w:val="32"/>
          <w:szCs w:val="32"/>
        </w:rPr>
        <w:t>增长</w:t>
      </w:r>
      <w:r>
        <w:rPr>
          <w:rFonts w:hint="default" w:ascii="Times New Roman" w:hAnsi="Times New Roman" w:eastAsia="方正仿宋简体" w:cs="Times New Roman"/>
          <w:color w:val="000000"/>
          <w:sz w:val="32"/>
          <w:szCs w:val="32"/>
          <w:lang w:val="en-US" w:eastAsia="zh-CN"/>
        </w:rPr>
        <w:t>28.1</w:t>
      </w:r>
      <w:r>
        <w:rPr>
          <w:rFonts w:hint="default" w:ascii="Times New Roman" w:hAnsi="Times New Roman" w:eastAsia="方正仿宋简体" w:cs="Times New Roman"/>
          <w:color w:val="000000"/>
          <w:sz w:val="32"/>
          <w:szCs w:val="32"/>
        </w:rPr>
        <w:t>%；电信业务总量</w:t>
      </w:r>
      <w:r>
        <w:rPr>
          <w:rStyle w:val="15"/>
          <w:rFonts w:hint="default" w:ascii="Times New Roman" w:hAnsi="Times New Roman" w:eastAsia="方正仿宋简体" w:cs="Times New Roman"/>
          <w:color w:val="000000"/>
          <w:sz w:val="32"/>
          <w:szCs w:val="32"/>
        </w:rPr>
        <w:t>[</w:t>
      </w:r>
      <w:r>
        <w:rPr>
          <w:rStyle w:val="15"/>
          <w:rFonts w:hint="default" w:ascii="Times New Roman" w:hAnsi="Times New Roman" w:eastAsia="方正仿宋简体" w:cs="Times New Roman"/>
          <w:color w:val="000000"/>
          <w:sz w:val="32"/>
          <w:szCs w:val="32"/>
        </w:rPr>
        <w:endnoteReference w:id="12"/>
      </w:r>
      <w:r>
        <w:rPr>
          <w:rStyle w:val="15"/>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val="en-US" w:eastAsia="zh-CN"/>
        </w:rPr>
        <w:t>524.</w:t>
      </w:r>
      <w:r>
        <w:rPr>
          <w:rFonts w:hint="eastAsia" w:ascii="Times New Roman" w:hAnsi="Times New Roman" w:eastAsia="方正仿宋简体" w:cs="Times New Roman"/>
          <w:color w:val="000000"/>
          <w:sz w:val="32"/>
          <w:szCs w:val="32"/>
          <w:lang w:val="en-US" w:eastAsia="zh-CN"/>
        </w:rPr>
        <w:t>69</w:t>
      </w:r>
      <w:r>
        <w:rPr>
          <w:rFonts w:hint="default" w:ascii="Times New Roman" w:hAnsi="Times New Roman" w:eastAsia="方正仿宋简体" w:cs="Times New Roman"/>
          <w:color w:val="000000"/>
          <w:sz w:val="32"/>
          <w:szCs w:val="32"/>
        </w:rPr>
        <w:t>亿元，增长</w:t>
      </w:r>
      <w:r>
        <w:rPr>
          <w:rFonts w:hint="default" w:ascii="Times New Roman" w:hAnsi="Times New Roman" w:eastAsia="方正仿宋简体" w:cs="Times New Roman"/>
          <w:color w:val="000000"/>
          <w:sz w:val="32"/>
          <w:szCs w:val="32"/>
          <w:lang w:val="en-US" w:eastAsia="zh-CN"/>
        </w:rPr>
        <w:t>26.3</w:t>
      </w:r>
      <w:r>
        <w:rPr>
          <w:rFonts w:hint="default" w:ascii="Times New Roman" w:hAnsi="Times New Roman" w:eastAsia="方正仿宋简体" w:cs="Times New Roman"/>
          <w:color w:val="000000"/>
          <w:sz w:val="32"/>
          <w:szCs w:val="32"/>
        </w:rPr>
        <w:t>%。邮政业全年完成邮政函件业务</w:t>
      </w:r>
      <w:r>
        <w:rPr>
          <w:rFonts w:hint="default" w:ascii="Times New Roman" w:hAnsi="Times New Roman" w:eastAsia="方正仿宋简体" w:cs="Times New Roman"/>
          <w:color w:val="000000"/>
          <w:sz w:val="32"/>
          <w:szCs w:val="32"/>
          <w:lang w:val="en-US" w:eastAsia="zh-CN"/>
        </w:rPr>
        <w:t>753.73</w:t>
      </w:r>
      <w:r>
        <w:rPr>
          <w:rFonts w:hint="default" w:ascii="Times New Roman" w:hAnsi="Times New Roman" w:eastAsia="方正仿宋简体" w:cs="Times New Roman"/>
          <w:color w:val="000000"/>
          <w:sz w:val="32"/>
          <w:szCs w:val="32"/>
        </w:rPr>
        <w:t>万件，包裹业务</w:t>
      </w:r>
      <w:r>
        <w:rPr>
          <w:rFonts w:hint="default" w:ascii="Times New Roman" w:hAnsi="Times New Roman" w:eastAsia="方正仿宋简体" w:cs="Times New Roman"/>
          <w:color w:val="000000"/>
          <w:sz w:val="32"/>
          <w:szCs w:val="32"/>
          <w:lang w:val="en-US" w:eastAsia="zh-CN"/>
        </w:rPr>
        <w:t>18.18</w:t>
      </w:r>
      <w:r>
        <w:rPr>
          <w:rFonts w:hint="default" w:ascii="Times New Roman" w:hAnsi="Times New Roman" w:eastAsia="方正仿宋简体" w:cs="Times New Roman"/>
          <w:color w:val="000000"/>
          <w:sz w:val="32"/>
          <w:szCs w:val="32"/>
        </w:rPr>
        <w:t>万件，快递业务量</w:t>
      </w:r>
      <w:r>
        <w:rPr>
          <w:rFonts w:hint="default" w:ascii="Times New Roman" w:hAnsi="Times New Roman" w:eastAsia="方正仿宋简体" w:cs="Times New Roman"/>
          <w:color w:val="000000"/>
          <w:sz w:val="32"/>
          <w:szCs w:val="32"/>
          <w:lang w:val="en-US" w:eastAsia="zh-CN"/>
        </w:rPr>
        <w:t>84190.54</w:t>
      </w:r>
      <w:r>
        <w:rPr>
          <w:rFonts w:hint="default" w:ascii="Times New Roman" w:hAnsi="Times New Roman" w:eastAsia="方正仿宋简体" w:cs="Times New Roman"/>
          <w:color w:val="000000"/>
          <w:sz w:val="32"/>
          <w:szCs w:val="32"/>
        </w:rPr>
        <w:t>万件，快递业务收入</w:t>
      </w:r>
      <w:r>
        <w:rPr>
          <w:rFonts w:hint="default" w:ascii="Times New Roman" w:hAnsi="Times New Roman" w:eastAsia="方正仿宋简体" w:cs="Times New Roman"/>
          <w:color w:val="000000"/>
          <w:sz w:val="32"/>
          <w:szCs w:val="32"/>
          <w:lang w:val="en-US" w:eastAsia="zh-CN"/>
        </w:rPr>
        <w:t>90.84</w:t>
      </w:r>
      <w:r>
        <w:rPr>
          <w:rFonts w:hint="default" w:ascii="Times New Roman" w:hAnsi="Times New Roman" w:eastAsia="方正仿宋简体" w:cs="Times New Roman"/>
          <w:color w:val="000000"/>
          <w:sz w:val="32"/>
          <w:szCs w:val="32"/>
        </w:rPr>
        <w:t>亿元。新增移动电话用户</w:t>
      </w:r>
      <w:r>
        <w:rPr>
          <w:rFonts w:hint="default" w:ascii="Times New Roman" w:hAnsi="Times New Roman" w:eastAsia="方正仿宋简体" w:cs="Times New Roman"/>
          <w:color w:val="000000"/>
          <w:sz w:val="32"/>
          <w:szCs w:val="32"/>
          <w:lang w:val="en-US" w:eastAsia="zh-CN"/>
        </w:rPr>
        <w:t>92.</w:t>
      </w:r>
      <w:r>
        <w:rPr>
          <w:rFonts w:hint="eastAsia" w:ascii="Times New Roman" w:hAnsi="Times New Roman" w:eastAsia="方正仿宋简体" w:cs="Times New Roman"/>
          <w:color w:val="000000"/>
          <w:sz w:val="32"/>
          <w:szCs w:val="32"/>
          <w:lang w:val="en-US" w:eastAsia="zh-CN"/>
        </w:rPr>
        <w:t>35</w:t>
      </w:r>
      <w:r>
        <w:rPr>
          <w:rFonts w:hint="default" w:ascii="Times New Roman" w:hAnsi="Times New Roman" w:eastAsia="方正仿宋简体" w:cs="Times New Roman"/>
          <w:color w:val="000000"/>
          <w:sz w:val="32"/>
          <w:szCs w:val="32"/>
        </w:rPr>
        <w:t>万户，年末达到</w:t>
      </w:r>
      <w:r>
        <w:rPr>
          <w:rFonts w:hint="default" w:ascii="Times New Roman" w:hAnsi="Times New Roman" w:eastAsia="方正仿宋简体" w:cs="Times New Roman"/>
          <w:color w:val="000000"/>
          <w:sz w:val="32"/>
          <w:szCs w:val="32"/>
          <w:lang w:val="en-US" w:eastAsia="zh-CN"/>
        </w:rPr>
        <w:t>5045.7</w:t>
      </w:r>
      <w:r>
        <w:rPr>
          <w:rFonts w:hint="eastAsia"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万户，其中4G移动电话用户</w:t>
      </w:r>
      <w:r>
        <w:rPr>
          <w:rFonts w:hint="default" w:ascii="Times New Roman" w:hAnsi="Times New Roman" w:eastAsia="方正仿宋简体" w:cs="Times New Roman"/>
          <w:color w:val="000000"/>
          <w:sz w:val="32"/>
          <w:szCs w:val="32"/>
          <w:lang w:val="en-US" w:eastAsia="zh-CN"/>
        </w:rPr>
        <w:t>3215.</w:t>
      </w:r>
      <w:r>
        <w:rPr>
          <w:rFonts w:hint="eastAsia" w:ascii="Times New Roman" w:hAnsi="Times New Roman" w:eastAsia="方正仿宋简体" w:cs="Times New Roman"/>
          <w:color w:val="000000"/>
          <w:sz w:val="32"/>
          <w:szCs w:val="32"/>
          <w:lang w:val="en-US" w:eastAsia="zh-CN"/>
        </w:rPr>
        <w:t>69</w:t>
      </w:r>
      <w:r>
        <w:rPr>
          <w:rFonts w:hint="default" w:ascii="Times New Roman" w:hAnsi="Times New Roman" w:eastAsia="方正仿宋简体" w:cs="Times New Roman"/>
          <w:color w:val="000000"/>
          <w:sz w:val="32"/>
          <w:szCs w:val="32"/>
        </w:rPr>
        <w:t>万户，5G移动电话用户</w:t>
      </w:r>
      <w:r>
        <w:rPr>
          <w:rFonts w:hint="default" w:ascii="Times New Roman" w:hAnsi="Times New Roman" w:eastAsia="方正仿宋简体" w:cs="Times New Roman"/>
          <w:color w:val="000000"/>
          <w:sz w:val="32"/>
          <w:szCs w:val="32"/>
          <w:lang w:val="en-US" w:eastAsia="zh-CN"/>
        </w:rPr>
        <w:t>929.</w:t>
      </w:r>
      <w:r>
        <w:rPr>
          <w:rFonts w:hint="eastAsia" w:ascii="Times New Roman" w:hAnsi="Times New Roman" w:eastAsia="方正仿宋简体" w:cs="Times New Roman"/>
          <w:color w:val="000000"/>
          <w:sz w:val="32"/>
          <w:szCs w:val="32"/>
          <w:lang w:val="en-US" w:eastAsia="zh-CN"/>
        </w:rPr>
        <w:t>64</w:t>
      </w:r>
      <w:r>
        <w:rPr>
          <w:rFonts w:hint="default" w:ascii="Times New Roman" w:hAnsi="Times New Roman" w:eastAsia="方正仿宋简体" w:cs="Times New Roman"/>
          <w:color w:val="000000"/>
          <w:sz w:val="32"/>
          <w:szCs w:val="32"/>
        </w:rPr>
        <w:t>万户。年末全省固定及移动电话用户总数</w:t>
      </w:r>
      <w:r>
        <w:rPr>
          <w:rFonts w:hint="default" w:ascii="Times New Roman" w:hAnsi="Times New Roman" w:eastAsia="方正仿宋简体" w:cs="Times New Roman"/>
          <w:color w:val="000000"/>
          <w:sz w:val="32"/>
          <w:szCs w:val="32"/>
          <w:lang w:val="en-US" w:eastAsia="zh-CN"/>
        </w:rPr>
        <w:t>5314.</w:t>
      </w:r>
      <w:r>
        <w:rPr>
          <w:rFonts w:hint="eastAsia" w:ascii="Times New Roman" w:hAnsi="Times New Roman" w:eastAsia="方正仿宋简体" w:cs="Times New Roman"/>
          <w:color w:val="000000"/>
          <w:sz w:val="32"/>
          <w:szCs w:val="32"/>
          <w:lang w:val="en-US" w:eastAsia="zh-CN"/>
        </w:rPr>
        <w:t>55</w:t>
      </w:r>
      <w:r>
        <w:rPr>
          <w:rFonts w:hint="default" w:ascii="Times New Roman" w:hAnsi="Times New Roman" w:eastAsia="方正仿宋简体" w:cs="Times New Roman"/>
          <w:color w:val="000000"/>
          <w:sz w:val="32"/>
          <w:szCs w:val="32"/>
        </w:rPr>
        <w:t>万户，比上年末增加</w:t>
      </w:r>
      <w:r>
        <w:rPr>
          <w:rFonts w:hint="default" w:ascii="Times New Roman" w:hAnsi="Times New Roman" w:eastAsia="方正仿宋简体" w:cs="Times New Roman"/>
          <w:color w:val="000000"/>
          <w:sz w:val="32"/>
          <w:szCs w:val="32"/>
          <w:lang w:val="en-US" w:eastAsia="zh-CN"/>
        </w:rPr>
        <w:t>86.6</w:t>
      </w:r>
      <w:r>
        <w:rPr>
          <w:rFonts w:hint="eastAsia" w:ascii="Times New Roman" w:hAnsi="Times New Roman" w:eastAsia="方正仿宋简体" w:cs="Times New Roman"/>
          <w:color w:val="000000"/>
          <w:sz w:val="32"/>
          <w:szCs w:val="32"/>
          <w:lang w:val="en-US" w:eastAsia="zh-CN"/>
        </w:rPr>
        <w:t>0</w:t>
      </w:r>
      <w:r>
        <w:rPr>
          <w:rFonts w:hint="default" w:ascii="Times New Roman" w:hAnsi="Times New Roman" w:eastAsia="方正仿宋简体" w:cs="Times New Roman"/>
          <w:color w:val="000000"/>
          <w:sz w:val="32"/>
          <w:szCs w:val="32"/>
        </w:rPr>
        <w:t>万户。固定电话普及率</w:t>
      </w:r>
      <w:r>
        <w:rPr>
          <w:rFonts w:hint="default" w:ascii="Times New Roman" w:hAnsi="Times New Roman" w:eastAsia="方正仿宋简体" w:cs="Times New Roman"/>
          <w:color w:val="000000"/>
          <w:sz w:val="32"/>
          <w:szCs w:val="32"/>
          <w:lang w:val="en-US" w:eastAsia="zh-CN"/>
        </w:rPr>
        <w:t>5.7</w:t>
      </w:r>
      <w:r>
        <w:rPr>
          <w:rFonts w:hint="default" w:ascii="Times New Roman" w:hAnsi="Times New Roman" w:eastAsia="方正仿宋简体" w:cs="Times New Roman"/>
          <w:color w:val="000000"/>
          <w:sz w:val="32"/>
          <w:szCs w:val="32"/>
        </w:rPr>
        <w:t>部/百人，移动电话普及率</w:t>
      </w:r>
      <w:r>
        <w:rPr>
          <w:rFonts w:hint="default" w:ascii="Times New Roman" w:hAnsi="Times New Roman" w:eastAsia="方正仿宋简体" w:cs="Times New Roman"/>
          <w:color w:val="000000"/>
          <w:sz w:val="32"/>
          <w:szCs w:val="32"/>
          <w:lang w:val="en-US" w:eastAsia="zh-CN"/>
        </w:rPr>
        <w:t>106.9</w:t>
      </w:r>
      <w:r>
        <w:rPr>
          <w:rFonts w:hint="default" w:ascii="Times New Roman" w:hAnsi="Times New Roman" w:eastAsia="方正仿宋简体" w:cs="Times New Roman"/>
          <w:color w:val="000000"/>
          <w:sz w:val="32"/>
          <w:szCs w:val="32"/>
        </w:rPr>
        <w:t>部/百人。固定互联网宽带接入用户</w:t>
      </w:r>
      <w:r>
        <w:rPr>
          <w:rFonts w:hint="default" w:ascii="Times New Roman" w:hAnsi="Times New Roman" w:eastAsia="方正仿宋简体" w:cs="Times New Roman"/>
          <w:color w:val="000000"/>
          <w:sz w:val="32"/>
          <w:szCs w:val="32"/>
          <w:lang w:val="en-US" w:eastAsia="zh-CN"/>
        </w:rPr>
        <w:t>1451.9</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万户，比上年增加</w:t>
      </w:r>
      <w:r>
        <w:rPr>
          <w:rFonts w:hint="default" w:ascii="Times New Roman" w:hAnsi="Times New Roman" w:eastAsia="方正仿宋简体" w:cs="Times New Roman"/>
          <w:color w:val="000000"/>
          <w:sz w:val="32"/>
          <w:szCs w:val="32"/>
          <w:lang w:val="en-US" w:eastAsia="zh-CN"/>
        </w:rPr>
        <w:t>173.8</w:t>
      </w:r>
      <w:r>
        <w:rPr>
          <w:rFonts w:hint="eastAsia" w:ascii="Times New Roman" w:hAnsi="Times New Roman" w:eastAsia="方正仿宋简体" w:cs="Times New Roman"/>
          <w:color w:val="000000"/>
          <w:sz w:val="32"/>
          <w:szCs w:val="32"/>
          <w:lang w:val="en-US" w:eastAsia="zh-CN"/>
        </w:rPr>
        <w:t>0</w:t>
      </w:r>
      <w:r>
        <w:rPr>
          <w:rFonts w:hint="default" w:ascii="Times New Roman" w:hAnsi="Times New Roman" w:eastAsia="方正仿宋简体" w:cs="Times New Roman"/>
          <w:color w:val="000000"/>
          <w:sz w:val="32"/>
          <w:szCs w:val="32"/>
        </w:rPr>
        <w:t>万户；移动互联网用户</w:t>
      </w:r>
      <w:r>
        <w:rPr>
          <w:rFonts w:hint="default" w:ascii="Times New Roman" w:hAnsi="Times New Roman" w:eastAsia="方正仿宋简体" w:cs="Times New Roman"/>
          <w:color w:val="000000"/>
          <w:sz w:val="32"/>
          <w:szCs w:val="32"/>
          <w:lang w:val="en-US" w:eastAsia="zh-CN"/>
        </w:rPr>
        <w:t>4063.2</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万户（含无线上网用户和手机上网用户），增加</w:t>
      </w:r>
      <w:r>
        <w:rPr>
          <w:rFonts w:hint="default" w:ascii="Times New Roman" w:hAnsi="Times New Roman" w:eastAsia="方正仿宋简体" w:cs="Times New Roman"/>
          <w:color w:val="000000"/>
          <w:sz w:val="32"/>
          <w:szCs w:val="32"/>
          <w:lang w:val="en-US" w:eastAsia="zh-CN"/>
        </w:rPr>
        <w:t>117.8</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万户</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年末固定电话用户</w:t>
      </w:r>
      <w:r>
        <w:rPr>
          <w:rFonts w:hint="default" w:ascii="Times New Roman" w:hAnsi="Times New Roman" w:eastAsia="方正仿宋简体" w:cs="Times New Roman"/>
          <w:color w:val="000000"/>
          <w:sz w:val="32"/>
          <w:szCs w:val="32"/>
          <w:lang w:val="en-US" w:eastAsia="zh-CN"/>
        </w:rPr>
        <w:t>268.8</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万户。</w:t>
      </w:r>
    </w:p>
    <w:p>
      <w:pPr>
        <w:pStyle w:val="2"/>
        <w:keepNext w:val="0"/>
        <w:keepLines w:val="0"/>
        <w:pageBreakBefore w:val="0"/>
        <w:kinsoku/>
        <w:wordWrap/>
        <w:overflowPunct w:val="0"/>
        <w:topLinePunct w:val="0"/>
        <w:autoSpaceDE/>
        <w:autoSpaceDN/>
        <w:bidi w:val="0"/>
        <w:adjustRightInd/>
        <w:spacing w:line="240" w:lineRule="auto"/>
        <w:ind w:left="0" w:leftChars="0" w:firstLine="0" w:firstLineChars="0"/>
        <w:jc w:val="center"/>
        <w:rPr>
          <w:rFonts w:hint="eastAsia" w:eastAsia="方正仿宋简体"/>
          <w:lang w:eastAsia="zh-CN"/>
        </w:rPr>
      </w:pPr>
      <w:r>
        <w:drawing>
          <wp:inline distT="0" distB="0" distL="114300" distR="114300">
            <wp:extent cx="5547995" cy="3683000"/>
            <wp:effectExtent l="0" t="0" r="14605" b="1270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6"/>
                    <a:stretch>
                      <a:fillRect/>
                    </a:stretch>
                  </pic:blipFill>
                  <pic:spPr>
                    <a:xfrm>
                      <a:off x="0" y="0"/>
                      <a:ext cx="5547995" cy="3683000"/>
                    </a:xfrm>
                    <a:prstGeom prst="rect">
                      <a:avLst/>
                    </a:prstGeom>
                    <a:noFill/>
                    <a:ln>
                      <a:noFill/>
                    </a:ln>
                  </pic:spPr>
                </pic:pic>
              </a:graphicData>
            </a:graphic>
          </wp:inline>
        </w:drawing>
      </w:r>
    </w:p>
    <w:p>
      <w:pPr>
        <w:pStyle w:val="3"/>
        <w:keepNext w:val="0"/>
        <w:keepLines w:val="0"/>
        <w:pageBreakBefore w:val="0"/>
        <w:kinsoku/>
        <w:wordWrap/>
        <w:overflowPunct w:val="0"/>
        <w:topLinePunct w:val="0"/>
        <w:autoSpaceDE/>
        <w:autoSpaceDN/>
        <w:bidi w:val="0"/>
        <w:adjustRightInd/>
        <w:spacing w:line="240" w:lineRule="auto"/>
        <w:rPr>
          <w:rFonts w:hint="eastAsia" w:ascii="Times New Roman" w:hAnsi="Times New Roman" w:eastAsia="宋体" w:cs="Times New Roman"/>
          <w:lang w:eastAsia="zh-CN"/>
        </w:rPr>
      </w:pPr>
    </w:p>
    <w:p>
      <w:pPr>
        <w:pStyle w:val="3"/>
        <w:keepNext w:val="0"/>
        <w:keepLines w:val="0"/>
        <w:pageBreakBefore w:val="0"/>
        <w:kinsoku/>
        <w:wordWrap/>
        <w:overflowPunct w:val="0"/>
        <w:topLinePunct w:val="0"/>
        <w:autoSpaceDE/>
        <w:autoSpaceDN/>
        <w:bidi w:val="0"/>
        <w:adjustRightInd/>
        <w:spacing w:line="240" w:lineRule="auto"/>
        <w:rPr>
          <w:rFonts w:hint="eastAsia" w:ascii="Times New Roman" w:hAnsi="Times New Roman" w:eastAsia="宋体" w:cs="Times New Roman"/>
          <w:lang w:eastAsia="zh-CN"/>
        </w:rPr>
      </w:pPr>
    </w:p>
    <w:p>
      <w:pPr>
        <w:pStyle w:val="3"/>
        <w:keepNext w:val="0"/>
        <w:keepLines w:val="0"/>
        <w:pageBreakBefore w:val="0"/>
        <w:kinsoku/>
        <w:wordWrap/>
        <w:overflowPunct w:val="0"/>
        <w:topLinePunct w:val="0"/>
        <w:autoSpaceDE/>
        <w:autoSpaceDN/>
        <w:bidi w:val="0"/>
        <w:adjustRightInd/>
        <w:spacing w:line="240" w:lineRule="auto"/>
        <w:jc w:val="center"/>
        <w:rPr>
          <w:rFonts w:hint="default" w:ascii="Times New Roman" w:hAnsi="Times New Roman" w:eastAsia="黑体" w:cs="Times New Roman"/>
          <w:bCs/>
          <w:sz w:val="32"/>
          <w:szCs w:val="32"/>
        </w:rPr>
      </w:pPr>
      <w:r>
        <w:drawing>
          <wp:inline distT="0" distB="0" distL="114300" distR="114300">
            <wp:extent cx="4928870" cy="2971800"/>
            <wp:effectExtent l="0" t="0" r="508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7"/>
                    <a:stretch>
                      <a:fillRect/>
                    </a:stretch>
                  </pic:blipFill>
                  <pic:spPr>
                    <a:xfrm>
                      <a:off x="0" y="0"/>
                      <a:ext cx="4928870" cy="2971800"/>
                    </a:xfrm>
                    <a:prstGeom prst="rect">
                      <a:avLst/>
                    </a:prstGeom>
                    <a:noFill/>
                    <a:ln>
                      <a:noFill/>
                    </a:ln>
                  </pic:spPr>
                </pic:pic>
              </a:graphicData>
            </a:graphic>
          </wp:inline>
        </w:drawing>
      </w:r>
    </w:p>
    <w:p>
      <w:pPr>
        <w:keepNext w:val="0"/>
        <w:keepLines w:val="0"/>
        <w:pageBreakBefore w:val="0"/>
        <w:kinsoku/>
        <w:wordWrap/>
        <w:overflowPunct w:val="0"/>
        <w:topLinePunct w:val="0"/>
        <w:autoSpaceDE/>
        <w:autoSpaceDN/>
        <w:bidi w:val="0"/>
        <w:adjustRightInd/>
        <w:spacing w:before="156" w:beforeLines="50" w:after="156" w:afterLines="50" w:line="240" w:lineRule="auto"/>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七、金融、保险和证券业</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全年金融业实现增加值1517.92亿元，比上年增长0.9%。年末金融机构人民币存款余额36357.7</w:t>
      </w:r>
      <w:r>
        <w:rPr>
          <w:rFonts w:hint="eastAsia"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亿元，增长2.4%，其中住户存款余额19275.04亿元，增长9.1%；年末全省金融机构人民币贷款余额38646.5</w:t>
      </w:r>
      <w:r>
        <w:rPr>
          <w:rFonts w:hint="eastAsia"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亿元，增长11.3%，其中，住户短期消费贷款余额1304.5</w:t>
      </w:r>
      <w:r>
        <w:rPr>
          <w:rFonts w:hint="eastAsia"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亿元，增长12.3%；住户中长期消费贷款余额8072.94亿元，增长11.9%。</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仿宋简体" w:cs="Times New Roman"/>
          <w:sz w:val="32"/>
          <w:szCs w:val="32"/>
          <w:highlight w:val="yellow"/>
        </w:rPr>
      </w:pPr>
      <w:r>
        <w:rPr>
          <w:rFonts w:hint="default" w:ascii="Times New Roman" w:hAnsi="Times New Roman" w:eastAsia="方正仿宋简体" w:cs="Times New Roman"/>
          <w:sz w:val="32"/>
          <w:szCs w:val="32"/>
        </w:rPr>
        <w:t>全年保险公司原保险保费收入690.20亿元，</w:t>
      </w:r>
      <w:r>
        <w:rPr>
          <w:rFonts w:hint="eastAsia" w:ascii="Times New Roman" w:hAnsi="Times New Roman" w:eastAsia="方正仿宋简体" w:cs="Times New Roman"/>
          <w:sz w:val="32"/>
          <w:szCs w:val="32"/>
          <w:lang w:eastAsia="zh-CN"/>
        </w:rPr>
        <w:t>比上年</w:t>
      </w:r>
      <w:r>
        <w:rPr>
          <w:rFonts w:hint="default" w:ascii="Times New Roman" w:hAnsi="Times New Roman" w:eastAsia="方正仿宋简体" w:cs="Times New Roman"/>
          <w:sz w:val="32"/>
          <w:szCs w:val="32"/>
        </w:rPr>
        <w:t>下降1.7%。其中，财产险业务原保险保费收入262.08亿元，下降10.4%；寿险业务原保险保费收入251.55亿元，增长2.3</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；健康险业务原保险保费收入148.26亿元，增长7.3%；意外伤害险业务原保险保费收入28.32亿元，增长9.3%。全年支付各类赔款及给付286</w:t>
      </w:r>
      <w:r>
        <w:rPr>
          <w:rFonts w:hint="eastAsia" w:ascii="Times New Roman" w:hAnsi="Times New Roman" w:eastAsia="方正仿宋简体" w:cs="Times New Roman"/>
          <w:sz w:val="32"/>
          <w:szCs w:val="32"/>
          <w:lang w:val="en-US" w:eastAsia="zh-CN"/>
        </w:rPr>
        <w:t>.00</w:t>
      </w:r>
      <w:r>
        <w:rPr>
          <w:rFonts w:hint="default" w:ascii="Times New Roman" w:hAnsi="Times New Roman" w:eastAsia="方正仿宋简体" w:cs="Times New Roman"/>
          <w:sz w:val="32"/>
          <w:szCs w:val="32"/>
        </w:rPr>
        <w:t>亿元，增长4.6%。其中，财产险业务赔款160.88亿元，增长5.4%；寿险业务给付43.27亿元，下降9.6%；健康险赔款及给付73.19亿元，增长13.4%</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意外伤害险赔款及给付8.66亿元，增长3.8%。</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cs="Times New Roman"/>
        </w:rPr>
      </w:pPr>
      <w:r>
        <w:rPr>
          <w:rFonts w:hint="default" w:ascii="Times New Roman" w:hAnsi="Times New Roman" w:eastAsia="方正仿宋简体" w:cs="Times New Roman"/>
          <w:sz w:val="32"/>
          <w:szCs w:val="32"/>
        </w:rPr>
        <w:t>全年云南企业通过证券市场累计融资</w:t>
      </w:r>
      <w:r>
        <w:rPr>
          <w:rFonts w:hint="default" w:ascii="Times New Roman" w:hAnsi="Times New Roman" w:eastAsia="方正仿宋简体" w:cs="Times New Roman"/>
          <w:sz w:val="32"/>
          <w:szCs w:val="32"/>
          <w:lang w:val="en-US" w:eastAsia="zh-CN"/>
        </w:rPr>
        <w:t>164.81</w:t>
      </w:r>
      <w:r>
        <w:rPr>
          <w:rFonts w:hint="default" w:ascii="Times New Roman" w:hAnsi="Times New Roman" w:eastAsia="方正仿宋简体" w:cs="Times New Roman"/>
          <w:sz w:val="32"/>
          <w:szCs w:val="32"/>
        </w:rPr>
        <w:t>亿元，比上年</w:t>
      </w:r>
      <w:r>
        <w:rPr>
          <w:rFonts w:hint="default" w:ascii="Times New Roman" w:hAnsi="Times New Roman" w:eastAsia="方正仿宋简体" w:cs="Times New Roman"/>
          <w:sz w:val="32"/>
          <w:szCs w:val="32"/>
          <w:lang w:eastAsia="zh-CN"/>
        </w:rPr>
        <w:t>增加</w:t>
      </w:r>
      <w:r>
        <w:rPr>
          <w:rFonts w:hint="default" w:ascii="Times New Roman" w:hAnsi="Times New Roman" w:eastAsia="方正仿宋简体" w:cs="Times New Roman"/>
          <w:sz w:val="32"/>
          <w:szCs w:val="32"/>
          <w:lang w:val="en-US" w:eastAsia="zh-CN"/>
        </w:rPr>
        <w:t>57.59</w:t>
      </w:r>
      <w:r>
        <w:rPr>
          <w:rFonts w:hint="default" w:ascii="Times New Roman" w:hAnsi="Times New Roman" w:eastAsia="方正仿宋简体" w:cs="Times New Roman"/>
          <w:sz w:val="32"/>
          <w:szCs w:val="32"/>
        </w:rPr>
        <w:t>亿元。其中，A股再融资（包括配股、公开增发、非公开增发）</w:t>
      </w:r>
      <w:r>
        <w:rPr>
          <w:rFonts w:hint="default" w:ascii="Times New Roman" w:hAnsi="Times New Roman" w:eastAsia="方正仿宋简体" w:cs="Times New Roman"/>
          <w:sz w:val="32"/>
          <w:szCs w:val="32"/>
          <w:lang w:val="en-US" w:eastAsia="zh-CN"/>
        </w:rPr>
        <w:t>112.26</w:t>
      </w:r>
      <w:r>
        <w:rPr>
          <w:rFonts w:hint="default" w:ascii="Times New Roman" w:hAnsi="Times New Roman" w:eastAsia="方正仿宋简体" w:cs="Times New Roman"/>
          <w:sz w:val="32"/>
          <w:szCs w:val="32"/>
        </w:rPr>
        <w:t>亿元，增加</w:t>
      </w:r>
      <w:r>
        <w:rPr>
          <w:rFonts w:hint="default" w:ascii="Times New Roman" w:hAnsi="Times New Roman" w:eastAsia="方正仿宋简体" w:cs="Times New Roman"/>
          <w:sz w:val="32"/>
          <w:szCs w:val="32"/>
          <w:lang w:val="en-US" w:eastAsia="zh-CN"/>
        </w:rPr>
        <w:t>14.7</w:t>
      </w:r>
      <w:r>
        <w:rPr>
          <w:rFonts w:hint="eastAsia"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亿元；云南企业通过发行公司债及资产证券化产品融资</w:t>
      </w:r>
      <w:r>
        <w:rPr>
          <w:rFonts w:hint="default" w:ascii="Times New Roman" w:hAnsi="Times New Roman" w:eastAsia="方正仿宋简体" w:cs="Times New Roman"/>
          <w:sz w:val="32"/>
          <w:szCs w:val="32"/>
          <w:lang w:val="en-US" w:eastAsia="zh-CN"/>
        </w:rPr>
        <w:t>157.64</w:t>
      </w:r>
      <w:r>
        <w:rPr>
          <w:rFonts w:hint="default" w:ascii="Times New Roman" w:hAnsi="Times New Roman" w:eastAsia="方正仿宋简体" w:cs="Times New Roman"/>
          <w:sz w:val="32"/>
          <w:szCs w:val="32"/>
        </w:rPr>
        <w:t>亿元，</w:t>
      </w:r>
      <w:r>
        <w:rPr>
          <w:rFonts w:hint="default" w:ascii="Times New Roman" w:hAnsi="Times New Roman" w:eastAsia="方正仿宋简体" w:cs="Times New Roman"/>
          <w:sz w:val="32"/>
          <w:szCs w:val="32"/>
          <w:lang w:eastAsia="zh-CN"/>
        </w:rPr>
        <w:t>减少</w:t>
      </w:r>
      <w:r>
        <w:rPr>
          <w:rFonts w:hint="default" w:ascii="Times New Roman" w:hAnsi="Times New Roman" w:eastAsia="方正仿宋简体" w:cs="Times New Roman"/>
          <w:sz w:val="32"/>
          <w:szCs w:val="32"/>
          <w:lang w:val="en-US" w:eastAsia="zh-CN"/>
        </w:rPr>
        <w:t>367.78</w:t>
      </w:r>
      <w:r>
        <w:rPr>
          <w:rFonts w:hint="default" w:ascii="Times New Roman" w:hAnsi="Times New Roman" w:eastAsia="方正仿宋简体" w:cs="Times New Roman"/>
          <w:sz w:val="32"/>
          <w:szCs w:val="32"/>
        </w:rPr>
        <w:t>亿元。年末全省有上市公司</w:t>
      </w:r>
      <w:r>
        <w:rPr>
          <w:rFonts w:hint="default" w:ascii="Times New Roman" w:hAnsi="Times New Roman" w:eastAsia="方正仿宋简体" w:cs="Times New Roman"/>
          <w:sz w:val="32"/>
          <w:szCs w:val="32"/>
          <w:lang w:val="en-US" w:eastAsia="zh-CN"/>
        </w:rPr>
        <w:t>41</w:t>
      </w:r>
      <w:r>
        <w:rPr>
          <w:rFonts w:hint="default" w:ascii="Times New Roman" w:hAnsi="Times New Roman" w:eastAsia="方正仿宋简体" w:cs="Times New Roman"/>
          <w:sz w:val="32"/>
          <w:szCs w:val="32"/>
        </w:rPr>
        <w:t>家，总股本</w:t>
      </w:r>
      <w:r>
        <w:rPr>
          <w:rFonts w:hint="default" w:ascii="Times New Roman" w:hAnsi="Times New Roman" w:eastAsia="方正仿宋简体" w:cs="Times New Roman"/>
          <w:sz w:val="32"/>
          <w:szCs w:val="32"/>
          <w:lang w:val="en-US" w:eastAsia="zh-CN"/>
        </w:rPr>
        <w:t>681.92</w:t>
      </w:r>
      <w:r>
        <w:rPr>
          <w:rFonts w:hint="default" w:ascii="Times New Roman" w:hAnsi="Times New Roman" w:eastAsia="方正仿宋简体" w:cs="Times New Roman"/>
          <w:sz w:val="32"/>
          <w:szCs w:val="32"/>
        </w:rPr>
        <w:t>亿股；总市值</w:t>
      </w:r>
      <w:r>
        <w:rPr>
          <w:rFonts w:hint="default" w:ascii="Times New Roman" w:hAnsi="Times New Roman" w:eastAsia="方正仿宋简体" w:cs="Times New Roman"/>
          <w:sz w:val="32"/>
          <w:szCs w:val="32"/>
          <w:lang w:val="en-US" w:eastAsia="zh-CN"/>
        </w:rPr>
        <w:t>10964.01</w:t>
      </w:r>
      <w:r>
        <w:rPr>
          <w:rFonts w:hint="default" w:ascii="Times New Roman" w:hAnsi="Times New Roman" w:eastAsia="方正仿宋简体" w:cs="Times New Roman"/>
          <w:sz w:val="32"/>
          <w:szCs w:val="32"/>
        </w:rPr>
        <w:t>亿元，增加</w:t>
      </w:r>
      <w:r>
        <w:rPr>
          <w:rFonts w:hint="default" w:ascii="Times New Roman" w:hAnsi="Times New Roman" w:eastAsia="方正仿宋简体" w:cs="Times New Roman"/>
          <w:sz w:val="32"/>
          <w:szCs w:val="32"/>
          <w:lang w:val="en-US" w:eastAsia="zh-CN"/>
        </w:rPr>
        <w:t>3419.75</w:t>
      </w:r>
      <w:r>
        <w:rPr>
          <w:rFonts w:hint="default" w:ascii="Times New Roman" w:hAnsi="Times New Roman" w:eastAsia="方正仿宋简体" w:cs="Times New Roman"/>
          <w:sz w:val="32"/>
          <w:szCs w:val="32"/>
        </w:rPr>
        <w:t>亿元。</w:t>
      </w:r>
    </w:p>
    <w:p>
      <w:pPr>
        <w:keepNext w:val="0"/>
        <w:keepLines w:val="0"/>
        <w:pageBreakBefore w:val="0"/>
        <w:kinsoku/>
        <w:wordWrap/>
        <w:overflowPunct w:val="0"/>
        <w:topLinePunct w:val="0"/>
        <w:autoSpaceDE/>
        <w:autoSpaceDN/>
        <w:bidi w:val="0"/>
        <w:adjustRightInd/>
        <w:spacing w:before="156" w:beforeLines="50" w:after="156" w:afterLines="50" w:line="56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八、教育</w:t>
      </w:r>
      <w:r>
        <w:rPr>
          <w:rFonts w:hint="eastAsia" w:ascii="Times New Roman" w:hAnsi="Times New Roman" w:eastAsia="黑体" w:cs="Times New Roman"/>
          <w:bCs/>
          <w:sz w:val="32"/>
          <w:szCs w:val="32"/>
          <w:lang w:eastAsia="zh-CN"/>
        </w:rPr>
        <w:t>和</w:t>
      </w:r>
      <w:r>
        <w:rPr>
          <w:rFonts w:hint="default" w:ascii="Times New Roman" w:hAnsi="Times New Roman" w:eastAsia="黑体" w:cs="Times New Roman"/>
          <w:bCs/>
          <w:sz w:val="32"/>
          <w:szCs w:val="32"/>
        </w:rPr>
        <w:t>科学技术</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方正仿宋简体" w:cs="Times New Roman"/>
          <w:color w:val="000000"/>
          <w:sz w:val="32"/>
          <w:szCs w:val="32"/>
        </w:rPr>
        <w:t>全年高等教育招生</w:t>
      </w:r>
      <w:r>
        <w:rPr>
          <w:rFonts w:hint="default" w:ascii="Times New Roman" w:hAnsi="Times New Roman" w:eastAsia="方正仿宋简体" w:cs="Times New Roman"/>
          <w:color w:val="000000"/>
          <w:sz w:val="32"/>
          <w:szCs w:val="32"/>
          <w:lang w:val="en" w:eastAsia="zh-CN"/>
        </w:rPr>
        <w:t>44.73</w:t>
      </w:r>
      <w:r>
        <w:rPr>
          <w:rFonts w:hint="default" w:ascii="Times New Roman" w:hAnsi="Times New Roman" w:eastAsia="方正仿宋简体" w:cs="Times New Roman"/>
          <w:color w:val="000000"/>
          <w:sz w:val="32"/>
          <w:szCs w:val="32"/>
        </w:rPr>
        <w:t>万人，比上年</w:t>
      </w:r>
      <w:r>
        <w:rPr>
          <w:rFonts w:hint="default" w:ascii="Times New Roman" w:hAnsi="Times New Roman" w:eastAsia="方正仿宋简体" w:cs="Times New Roman"/>
          <w:color w:val="000000"/>
          <w:sz w:val="32"/>
          <w:szCs w:val="32"/>
          <w:lang w:eastAsia="zh-CN"/>
        </w:rPr>
        <w:t>下降</w:t>
      </w:r>
      <w:r>
        <w:rPr>
          <w:rFonts w:hint="default" w:ascii="Times New Roman" w:hAnsi="Times New Roman" w:eastAsia="方正仿宋简体" w:cs="Times New Roman"/>
          <w:color w:val="000000"/>
          <w:sz w:val="32"/>
          <w:szCs w:val="32"/>
          <w:lang w:val="en-US" w:eastAsia="zh-CN"/>
        </w:rPr>
        <w:t>1.6</w:t>
      </w:r>
      <w:r>
        <w:rPr>
          <w:rFonts w:hint="default" w:ascii="Times New Roman" w:hAnsi="Times New Roman" w:eastAsia="方正仿宋简体" w:cs="Times New Roman"/>
          <w:color w:val="000000"/>
          <w:sz w:val="32"/>
          <w:szCs w:val="32"/>
        </w:rPr>
        <w:t>%，在校生</w:t>
      </w:r>
      <w:r>
        <w:rPr>
          <w:rFonts w:hint="default" w:ascii="Times New Roman" w:hAnsi="Times New Roman" w:eastAsia="方正仿宋简体" w:cs="Times New Roman"/>
          <w:color w:val="000000"/>
          <w:sz w:val="32"/>
          <w:szCs w:val="32"/>
          <w:lang w:val="en-US" w:eastAsia="zh-CN"/>
        </w:rPr>
        <w:t>135.57</w:t>
      </w:r>
      <w:r>
        <w:rPr>
          <w:rFonts w:hint="default" w:ascii="Times New Roman" w:hAnsi="Times New Roman" w:eastAsia="方正仿宋简体" w:cs="Times New Roman"/>
          <w:color w:val="000000"/>
          <w:sz w:val="32"/>
          <w:szCs w:val="32"/>
        </w:rPr>
        <w:t>万人，增长</w:t>
      </w:r>
      <w:r>
        <w:rPr>
          <w:rFonts w:hint="default" w:ascii="Times New Roman" w:hAnsi="Times New Roman" w:eastAsia="方正仿宋简体" w:cs="Times New Roman"/>
          <w:color w:val="000000"/>
          <w:sz w:val="32"/>
          <w:szCs w:val="32"/>
          <w:lang w:val="en-US" w:eastAsia="zh-CN"/>
        </w:rPr>
        <w:t>5.6</w:t>
      </w:r>
      <w:r>
        <w:rPr>
          <w:rFonts w:hint="default" w:ascii="Times New Roman" w:hAnsi="Times New Roman" w:eastAsia="方正仿宋简体" w:cs="Times New Roman"/>
          <w:color w:val="000000"/>
          <w:sz w:val="32"/>
          <w:szCs w:val="32"/>
        </w:rPr>
        <w:t>%，毕业生</w:t>
      </w:r>
      <w:r>
        <w:rPr>
          <w:rFonts w:hint="default" w:ascii="Times New Roman" w:hAnsi="Times New Roman" w:eastAsia="方正仿宋简体" w:cs="Times New Roman"/>
          <w:color w:val="000000"/>
          <w:sz w:val="32"/>
          <w:szCs w:val="32"/>
          <w:lang w:val="en-US" w:eastAsia="zh-CN"/>
        </w:rPr>
        <w:t>35.4</w:t>
      </w:r>
      <w:r>
        <w:rPr>
          <w:rFonts w:hint="eastAsia"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万人，增长</w:t>
      </w:r>
      <w:r>
        <w:rPr>
          <w:rFonts w:hint="default" w:ascii="Times New Roman" w:hAnsi="Times New Roman" w:eastAsia="方正仿宋简体" w:cs="Times New Roman"/>
          <w:color w:val="000000"/>
          <w:sz w:val="32"/>
          <w:szCs w:val="32"/>
          <w:lang w:val="en-US" w:eastAsia="zh-CN"/>
        </w:rPr>
        <w:t>13.3</w:t>
      </w:r>
      <w:r>
        <w:rPr>
          <w:rFonts w:hint="default" w:ascii="Times New Roman" w:hAnsi="Times New Roman" w:eastAsia="方正仿宋简体" w:cs="Times New Roman"/>
          <w:color w:val="000000"/>
          <w:sz w:val="32"/>
          <w:szCs w:val="32"/>
        </w:rPr>
        <w:t>%。其中：研究生招生</w:t>
      </w:r>
      <w:r>
        <w:rPr>
          <w:rFonts w:hint="default" w:ascii="Times New Roman" w:hAnsi="Times New Roman" w:eastAsia="方正仿宋简体" w:cs="Times New Roman"/>
          <w:color w:val="000000"/>
          <w:sz w:val="32"/>
          <w:szCs w:val="32"/>
          <w:lang w:val="en-US" w:eastAsia="zh-CN"/>
        </w:rPr>
        <w:t>2.30</w:t>
      </w:r>
      <w:r>
        <w:rPr>
          <w:rFonts w:hint="default" w:ascii="Times New Roman" w:hAnsi="Times New Roman" w:eastAsia="方正仿宋简体" w:cs="Times New Roman"/>
          <w:color w:val="000000"/>
          <w:sz w:val="32"/>
          <w:szCs w:val="32"/>
        </w:rPr>
        <w:t>万人，增长</w:t>
      </w:r>
      <w:r>
        <w:rPr>
          <w:rFonts w:hint="default" w:ascii="Times New Roman" w:hAnsi="Times New Roman" w:eastAsia="方正仿宋简体" w:cs="Times New Roman"/>
          <w:color w:val="000000"/>
          <w:sz w:val="32"/>
          <w:szCs w:val="32"/>
          <w:lang w:val="en-US" w:eastAsia="zh-CN"/>
        </w:rPr>
        <w:t>8.3</w:t>
      </w:r>
      <w:r>
        <w:rPr>
          <w:rFonts w:hint="default"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在校研究生</w:t>
      </w:r>
      <w:r>
        <w:rPr>
          <w:rFonts w:hint="default" w:ascii="Times New Roman" w:hAnsi="Times New Roman" w:eastAsia="方正仿宋简体" w:cs="Times New Roman"/>
          <w:color w:val="000000"/>
          <w:sz w:val="32"/>
          <w:szCs w:val="32"/>
          <w:lang w:val="en-US" w:eastAsia="zh-CN"/>
        </w:rPr>
        <w:t>6.36</w:t>
      </w:r>
      <w:r>
        <w:rPr>
          <w:rFonts w:hint="default" w:ascii="Times New Roman" w:hAnsi="Times New Roman" w:eastAsia="方正仿宋简体" w:cs="Times New Roman"/>
          <w:color w:val="000000"/>
          <w:sz w:val="32"/>
          <w:szCs w:val="32"/>
        </w:rPr>
        <w:t>万人，增长</w:t>
      </w:r>
      <w:r>
        <w:rPr>
          <w:rFonts w:hint="default" w:ascii="Times New Roman" w:hAnsi="Times New Roman" w:eastAsia="方正仿宋简体" w:cs="Times New Roman"/>
          <w:color w:val="000000"/>
          <w:sz w:val="32"/>
          <w:szCs w:val="32"/>
          <w:lang w:val="en-US" w:eastAsia="zh-CN"/>
        </w:rPr>
        <w:t>16.1</w:t>
      </w:r>
      <w:r>
        <w:rPr>
          <w:rFonts w:hint="default"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毕业研究生</w:t>
      </w:r>
      <w:r>
        <w:rPr>
          <w:rFonts w:hint="default" w:ascii="Times New Roman" w:hAnsi="Times New Roman" w:eastAsia="方正仿宋简体" w:cs="Times New Roman"/>
          <w:color w:val="000000"/>
          <w:sz w:val="32"/>
          <w:szCs w:val="32"/>
          <w:lang w:val="en-US" w:eastAsia="zh-CN"/>
        </w:rPr>
        <w:t>1.36</w:t>
      </w:r>
      <w:r>
        <w:rPr>
          <w:rFonts w:hint="default" w:ascii="Times New Roman" w:hAnsi="Times New Roman" w:eastAsia="方正仿宋简体" w:cs="Times New Roman"/>
          <w:color w:val="000000"/>
          <w:sz w:val="32"/>
          <w:szCs w:val="32"/>
        </w:rPr>
        <w:t>万人，增长</w:t>
      </w:r>
      <w:r>
        <w:rPr>
          <w:rFonts w:hint="default" w:ascii="Times New Roman" w:hAnsi="Times New Roman" w:eastAsia="方正仿宋简体" w:cs="Times New Roman"/>
          <w:color w:val="000000"/>
          <w:sz w:val="32"/>
          <w:szCs w:val="32"/>
          <w:lang w:val="en-US" w:eastAsia="zh-CN"/>
        </w:rPr>
        <w:t>6.0</w:t>
      </w:r>
      <w:r>
        <w:rPr>
          <w:rFonts w:hint="default" w:ascii="Times New Roman" w:hAnsi="Times New Roman" w:eastAsia="方正仿宋简体" w:cs="Times New Roman"/>
          <w:color w:val="000000"/>
          <w:sz w:val="32"/>
          <w:szCs w:val="32"/>
        </w:rPr>
        <w:t>%。普通本、专科共招生</w:t>
      </w:r>
      <w:r>
        <w:rPr>
          <w:rFonts w:hint="default" w:ascii="Times New Roman" w:hAnsi="Times New Roman" w:eastAsia="方正仿宋简体" w:cs="Times New Roman"/>
          <w:color w:val="000000"/>
          <w:sz w:val="32"/>
          <w:szCs w:val="32"/>
          <w:lang w:val="en-US" w:eastAsia="zh-CN"/>
        </w:rPr>
        <w:t>35.20</w:t>
      </w:r>
      <w:r>
        <w:rPr>
          <w:rFonts w:hint="default" w:ascii="Times New Roman" w:hAnsi="Times New Roman" w:eastAsia="方正仿宋简体" w:cs="Times New Roman"/>
          <w:color w:val="000000"/>
          <w:sz w:val="32"/>
          <w:szCs w:val="32"/>
        </w:rPr>
        <w:t>万人，增长</w:t>
      </w:r>
      <w:r>
        <w:rPr>
          <w:rFonts w:hint="default" w:ascii="Times New Roman" w:hAnsi="Times New Roman" w:eastAsia="方正仿宋简体" w:cs="Times New Roman"/>
          <w:color w:val="000000"/>
          <w:sz w:val="32"/>
          <w:szCs w:val="32"/>
          <w:lang w:val="en-US" w:eastAsia="zh-CN"/>
        </w:rPr>
        <w:t>1.8</w:t>
      </w:r>
      <w:r>
        <w:rPr>
          <w:rFonts w:hint="default" w:ascii="Times New Roman" w:hAnsi="Times New Roman" w:eastAsia="方正仿宋简体" w:cs="Times New Roman"/>
          <w:color w:val="000000"/>
          <w:sz w:val="32"/>
          <w:szCs w:val="32"/>
        </w:rPr>
        <w:t>%；在校生</w:t>
      </w:r>
      <w:r>
        <w:rPr>
          <w:rFonts w:hint="default" w:ascii="Times New Roman" w:hAnsi="Times New Roman" w:eastAsia="方正仿宋简体" w:cs="Times New Roman"/>
          <w:color w:val="000000"/>
          <w:sz w:val="32"/>
          <w:szCs w:val="32"/>
          <w:lang w:val="en-US" w:eastAsia="zh-CN"/>
        </w:rPr>
        <w:t>104.41</w:t>
      </w:r>
      <w:r>
        <w:rPr>
          <w:rFonts w:hint="default" w:ascii="Times New Roman" w:hAnsi="Times New Roman" w:eastAsia="方正仿宋简体" w:cs="Times New Roman"/>
          <w:color w:val="000000"/>
          <w:sz w:val="32"/>
          <w:szCs w:val="32"/>
        </w:rPr>
        <w:t>万人，增长</w:t>
      </w:r>
      <w:r>
        <w:rPr>
          <w:rFonts w:hint="default" w:ascii="Times New Roman" w:hAnsi="Times New Roman" w:eastAsia="方正仿宋简体" w:cs="Times New Roman"/>
          <w:color w:val="000000"/>
          <w:sz w:val="32"/>
          <w:szCs w:val="32"/>
          <w:lang w:val="en-US" w:eastAsia="zh-CN"/>
        </w:rPr>
        <w:t>8.</w:t>
      </w:r>
      <w:r>
        <w:rPr>
          <w:rFonts w:hint="eastAsia"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%；毕业生</w:t>
      </w:r>
      <w:r>
        <w:rPr>
          <w:rFonts w:hint="default" w:ascii="Times New Roman" w:hAnsi="Times New Roman" w:eastAsia="方正仿宋简体" w:cs="Times New Roman"/>
          <w:color w:val="000000"/>
          <w:sz w:val="32"/>
          <w:szCs w:val="32"/>
          <w:lang w:val="en-US" w:eastAsia="zh-CN"/>
        </w:rPr>
        <w:t>25.93</w:t>
      </w:r>
      <w:r>
        <w:rPr>
          <w:rFonts w:hint="default" w:ascii="Times New Roman" w:hAnsi="Times New Roman" w:eastAsia="方正仿宋简体" w:cs="Times New Roman"/>
          <w:color w:val="000000"/>
          <w:sz w:val="32"/>
          <w:szCs w:val="32"/>
        </w:rPr>
        <w:t>万人，增长</w:t>
      </w:r>
      <w:r>
        <w:rPr>
          <w:rFonts w:hint="default" w:ascii="Times New Roman" w:hAnsi="Times New Roman" w:eastAsia="方正仿宋简体" w:cs="Times New Roman"/>
          <w:color w:val="000000"/>
          <w:sz w:val="32"/>
          <w:szCs w:val="32"/>
          <w:lang w:val="en-US" w:eastAsia="zh-CN"/>
        </w:rPr>
        <w:t>10.</w:t>
      </w:r>
      <w:r>
        <w:rPr>
          <w:rFonts w:hint="eastAsia"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%。成人高等教育本、专科共招生</w:t>
      </w:r>
      <w:r>
        <w:rPr>
          <w:rFonts w:hint="default" w:ascii="Times New Roman" w:hAnsi="Times New Roman" w:eastAsia="方正仿宋简体" w:cs="Times New Roman"/>
          <w:color w:val="000000"/>
          <w:sz w:val="32"/>
          <w:szCs w:val="32"/>
          <w:lang w:val="en-US" w:eastAsia="zh-CN"/>
        </w:rPr>
        <w:t>7.23</w:t>
      </w:r>
      <w:r>
        <w:rPr>
          <w:rFonts w:hint="default" w:ascii="Times New Roman" w:hAnsi="Times New Roman" w:eastAsia="方正仿宋简体" w:cs="Times New Roman"/>
          <w:color w:val="000000"/>
          <w:sz w:val="32"/>
          <w:szCs w:val="32"/>
        </w:rPr>
        <w:t>万人，</w:t>
      </w:r>
      <w:r>
        <w:rPr>
          <w:rFonts w:hint="default" w:ascii="Times New Roman" w:hAnsi="Times New Roman" w:eastAsia="方正仿宋简体" w:cs="Times New Roman"/>
          <w:color w:val="000000"/>
          <w:sz w:val="32"/>
          <w:szCs w:val="32"/>
          <w:lang w:eastAsia="zh-CN"/>
        </w:rPr>
        <w:t>下降</w:t>
      </w:r>
      <w:r>
        <w:rPr>
          <w:rFonts w:hint="default" w:ascii="Times New Roman" w:hAnsi="Times New Roman" w:eastAsia="方正仿宋简体" w:cs="Times New Roman"/>
          <w:color w:val="000000"/>
          <w:sz w:val="32"/>
          <w:szCs w:val="32"/>
          <w:lang w:val="en-US" w:eastAsia="zh-CN"/>
        </w:rPr>
        <w:t>17.</w:t>
      </w:r>
      <w:r>
        <w:rPr>
          <w:rFonts w:hint="eastAsia" w:ascii="Times New Roman" w:hAnsi="Times New Roman" w:eastAsia="方正仿宋简体" w:cs="Times New Roman"/>
          <w:color w:val="000000"/>
          <w:sz w:val="32"/>
          <w:szCs w:val="32"/>
          <w:lang w:val="en-US" w:eastAsia="zh-CN"/>
        </w:rPr>
        <w:t>7</w:t>
      </w:r>
      <w:r>
        <w:rPr>
          <w:rFonts w:hint="default" w:ascii="Times New Roman" w:hAnsi="Times New Roman" w:eastAsia="方正仿宋简体" w:cs="Times New Roman"/>
          <w:color w:val="000000"/>
          <w:sz w:val="32"/>
          <w:szCs w:val="32"/>
        </w:rPr>
        <w:t>%；在校生</w:t>
      </w:r>
      <w:r>
        <w:rPr>
          <w:rFonts w:hint="default" w:ascii="Times New Roman" w:hAnsi="Times New Roman" w:eastAsia="方正仿宋简体" w:cs="Times New Roman"/>
          <w:color w:val="000000"/>
          <w:sz w:val="32"/>
          <w:szCs w:val="32"/>
          <w:lang w:val="en-US" w:eastAsia="zh-CN"/>
        </w:rPr>
        <w:t>24.81</w:t>
      </w:r>
      <w:r>
        <w:rPr>
          <w:rFonts w:hint="default" w:ascii="Times New Roman" w:hAnsi="Times New Roman" w:eastAsia="方正仿宋简体" w:cs="Times New Roman"/>
          <w:color w:val="000000"/>
          <w:sz w:val="32"/>
          <w:szCs w:val="32"/>
        </w:rPr>
        <w:t>万人，</w:t>
      </w:r>
      <w:r>
        <w:rPr>
          <w:rFonts w:hint="default" w:ascii="Times New Roman" w:hAnsi="Times New Roman" w:eastAsia="方正仿宋简体" w:cs="Times New Roman"/>
          <w:color w:val="000000"/>
          <w:sz w:val="32"/>
          <w:szCs w:val="32"/>
          <w:lang w:eastAsia="zh-CN"/>
        </w:rPr>
        <w:t>下降</w:t>
      </w:r>
      <w:r>
        <w:rPr>
          <w:rFonts w:hint="default" w:ascii="Times New Roman" w:hAnsi="Times New Roman" w:eastAsia="方正仿宋简体" w:cs="Times New Roman"/>
          <w:color w:val="000000"/>
          <w:sz w:val="32"/>
          <w:szCs w:val="32"/>
          <w:lang w:val="en-US" w:eastAsia="zh-CN"/>
        </w:rPr>
        <w:t>6.3</w:t>
      </w:r>
      <w:r>
        <w:rPr>
          <w:rFonts w:hint="default" w:ascii="Times New Roman" w:hAnsi="Times New Roman" w:eastAsia="方正仿宋简体" w:cs="Times New Roman"/>
          <w:color w:val="000000"/>
          <w:sz w:val="32"/>
          <w:szCs w:val="32"/>
        </w:rPr>
        <w:t>%；毕业生</w:t>
      </w:r>
      <w:r>
        <w:rPr>
          <w:rFonts w:hint="default" w:ascii="Times New Roman" w:hAnsi="Times New Roman" w:eastAsia="方正仿宋简体" w:cs="Times New Roman"/>
          <w:color w:val="000000"/>
          <w:sz w:val="32"/>
          <w:szCs w:val="32"/>
          <w:lang w:val="en-US" w:eastAsia="zh-CN"/>
        </w:rPr>
        <w:t>8.14</w:t>
      </w:r>
      <w:r>
        <w:rPr>
          <w:rFonts w:hint="default" w:ascii="Times New Roman" w:hAnsi="Times New Roman" w:eastAsia="方正仿宋简体" w:cs="Times New Roman"/>
          <w:color w:val="000000"/>
          <w:sz w:val="32"/>
          <w:szCs w:val="32"/>
        </w:rPr>
        <w:t>万人，增长</w:t>
      </w:r>
      <w:r>
        <w:rPr>
          <w:rFonts w:hint="default" w:ascii="Times New Roman" w:hAnsi="Times New Roman" w:eastAsia="方正仿宋简体" w:cs="Times New Roman"/>
          <w:color w:val="000000"/>
          <w:sz w:val="32"/>
          <w:szCs w:val="32"/>
          <w:lang w:val="en-US" w:eastAsia="zh-CN"/>
        </w:rPr>
        <w:t>26.</w:t>
      </w:r>
      <w:r>
        <w:rPr>
          <w:rFonts w:hint="eastAsia"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%。各类中等职业教育（含技工学校）招生</w:t>
      </w:r>
      <w:r>
        <w:rPr>
          <w:rFonts w:hint="default" w:ascii="Times New Roman" w:hAnsi="Times New Roman" w:eastAsia="方正仿宋简体" w:cs="Times New Roman"/>
          <w:color w:val="000000"/>
          <w:sz w:val="32"/>
          <w:szCs w:val="32"/>
          <w:lang w:val="en-US" w:eastAsia="zh-CN"/>
        </w:rPr>
        <w:t>17.54</w:t>
      </w:r>
      <w:r>
        <w:rPr>
          <w:rFonts w:hint="default" w:ascii="Times New Roman" w:hAnsi="Times New Roman" w:eastAsia="方正仿宋简体" w:cs="Times New Roman"/>
          <w:color w:val="000000"/>
          <w:sz w:val="32"/>
          <w:szCs w:val="32"/>
        </w:rPr>
        <w:t>万人，在校生</w:t>
      </w:r>
      <w:r>
        <w:rPr>
          <w:rFonts w:hint="default" w:ascii="Times New Roman" w:hAnsi="Times New Roman" w:eastAsia="方正仿宋简体" w:cs="Times New Roman"/>
          <w:color w:val="000000"/>
          <w:sz w:val="32"/>
          <w:szCs w:val="32"/>
          <w:lang w:val="en-US" w:eastAsia="zh-CN"/>
        </w:rPr>
        <w:t>55.09</w:t>
      </w:r>
      <w:r>
        <w:rPr>
          <w:rFonts w:hint="default" w:ascii="Times New Roman" w:hAnsi="Times New Roman" w:eastAsia="方正仿宋简体" w:cs="Times New Roman"/>
          <w:color w:val="000000"/>
          <w:sz w:val="32"/>
          <w:szCs w:val="32"/>
        </w:rPr>
        <w:t>万人，毕业生</w:t>
      </w:r>
      <w:r>
        <w:rPr>
          <w:rFonts w:hint="default" w:ascii="Times New Roman" w:hAnsi="Times New Roman" w:eastAsia="方正仿宋简体" w:cs="Times New Roman"/>
          <w:color w:val="000000"/>
          <w:sz w:val="32"/>
          <w:szCs w:val="32"/>
          <w:lang w:val="en-US" w:eastAsia="zh-CN"/>
        </w:rPr>
        <w:t>17.55</w:t>
      </w:r>
      <w:r>
        <w:rPr>
          <w:rFonts w:hint="default" w:ascii="Times New Roman" w:hAnsi="Times New Roman" w:eastAsia="方正仿宋简体" w:cs="Times New Roman"/>
          <w:color w:val="000000"/>
          <w:sz w:val="32"/>
          <w:szCs w:val="32"/>
        </w:rPr>
        <w:t>万人。普通</w:t>
      </w:r>
      <w:r>
        <w:rPr>
          <w:rFonts w:hint="default" w:ascii="Times New Roman" w:hAnsi="Times New Roman" w:eastAsia="方正仿宋简体" w:cs="Times New Roman"/>
          <w:color w:val="000000"/>
          <w:spacing w:val="-6"/>
          <w:sz w:val="32"/>
          <w:szCs w:val="32"/>
        </w:rPr>
        <w:t>高中招生</w:t>
      </w:r>
      <w:r>
        <w:rPr>
          <w:rFonts w:hint="default" w:ascii="Times New Roman" w:hAnsi="Times New Roman" w:eastAsia="方正仿宋简体" w:cs="Times New Roman"/>
          <w:color w:val="000000"/>
          <w:spacing w:val="-6"/>
          <w:sz w:val="32"/>
          <w:szCs w:val="32"/>
          <w:lang w:val="en-US" w:eastAsia="zh-CN"/>
        </w:rPr>
        <w:t>35.67</w:t>
      </w:r>
      <w:r>
        <w:rPr>
          <w:rFonts w:hint="default" w:ascii="Times New Roman" w:hAnsi="Times New Roman" w:eastAsia="方正仿宋简体" w:cs="Times New Roman"/>
          <w:color w:val="000000"/>
          <w:spacing w:val="-6"/>
          <w:sz w:val="32"/>
          <w:szCs w:val="32"/>
        </w:rPr>
        <w:t>万人，在校生</w:t>
      </w:r>
      <w:r>
        <w:rPr>
          <w:rFonts w:hint="default" w:ascii="Times New Roman" w:hAnsi="Times New Roman" w:eastAsia="方正仿宋简体" w:cs="Times New Roman"/>
          <w:color w:val="000000"/>
          <w:spacing w:val="-6"/>
          <w:sz w:val="32"/>
          <w:szCs w:val="32"/>
          <w:lang w:val="en-US" w:eastAsia="zh-CN"/>
        </w:rPr>
        <w:t>101.57</w:t>
      </w:r>
      <w:r>
        <w:rPr>
          <w:rFonts w:hint="default" w:ascii="Times New Roman" w:hAnsi="Times New Roman" w:eastAsia="方正仿宋简体" w:cs="Times New Roman"/>
          <w:color w:val="000000"/>
          <w:spacing w:val="-6"/>
          <w:sz w:val="32"/>
          <w:szCs w:val="32"/>
        </w:rPr>
        <w:t>万人，毕业生</w:t>
      </w:r>
      <w:r>
        <w:rPr>
          <w:rFonts w:hint="default" w:ascii="Times New Roman" w:hAnsi="Times New Roman" w:eastAsia="方正仿宋简体" w:cs="Times New Roman"/>
          <w:color w:val="000000"/>
          <w:spacing w:val="-6"/>
          <w:sz w:val="32"/>
          <w:szCs w:val="32"/>
          <w:lang w:val="en-US" w:eastAsia="zh-CN"/>
        </w:rPr>
        <w:t>28.99</w:t>
      </w:r>
      <w:r>
        <w:rPr>
          <w:rFonts w:hint="default" w:ascii="Times New Roman" w:hAnsi="Times New Roman" w:eastAsia="方正仿宋简体" w:cs="Times New Roman"/>
          <w:color w:val="000000"/>
          <w:spacing w:val="-6"/>
          <w:sz w:val="32"/>
          <w:szCs w:val="32"/>
        </w:rPr>
        <w:t>万人。初中招生</w:t>
      </w:r>
      <w:r>
        <w:rPr>
          <w:rFonts w:hint="default" w:ascii="Times New Roman" w:hAnsi="Times New Roman" w:eastAsia="方正仿宋简体" w:cs="Times New Roman"/>
          <w:color w:val="000000"/>
          <w:spacing w:val="-6"/>
          <w:sz w:val="32"/>
          <w:szCs w:val="32"/>
          <w:lang w:val="en-US" w:eastAsia="zh-CN"/>
        </w:rPr>
        <w:t>62.66</w:t>
      </w:r>
      <w:r>
        <w:rPr>
          <w:rFonts w:hint="default" w:ascii="Times New Roman" w:hAnsi="Times New Roman" w:eastAsia="方正仿宋简体" w:cs="Times New Roman"/>
          <w:color w:val="000000"/>
          <w:spacing w:val="-6"/>
          <w:sz w:val="32"/>
          <w:szCs w:val="32"/>
        </w:rPr>
        <w:t>万人，在校生</w:t>
      </w:r>
      <w:r>
        <w:rPr>
          <w:rFonts w:hint="default" w:ascii="Times New Roman" w:hAnsi="Times New Roman" w:eastAsia="方正仿宋简体" w:cs="Times New Roman"/>
          <w:color w:val="000000"/>
          <w:spacing w:val="-6"/>
          <w:sz w:val="32"/>
          <w:szCs w:val="32"/>
          <w:lang w:val="en-US" w:eastAsia="zh-CN"/>
        </w:rPr>
        <w:t>183.51</w:t>
      </w:r>
      <w:r>
        <w:rPr>
          <w:rFonts w:hint="default" w:ascii="Times New Roman" w:hAnsi="Times New Roman" w:eastAsia="方正仿宋简体" w:cs="Times New Roman"/>
          <w:color w:val="000000"/>
          <w:spacing w:val="-6"/>
          <w:sz w:val="32"/>
          <w:szCs w:val="32"/>
        </w:rPr>
        <w:t>万人，毕业生</w:t>
      </w:r>
      <w:r>
        <w:rPr>
          <w:rFonts w:hint="default" w:ascii="Times New Roman" w:hAnsi="Times New Roman" w:eastAsia="方正仿宋简体" w:cs="Times New Roman"/>
          <w:color w:val="000000"/>
          <w:spacing w:val="-6"/>
          <w:sz w:val="32"/>
          <w:szCs w:val="32"/>
          <w:lang w:val="en-US" w:eastAsia="zh-CN"/>
        </w:rPr>
        <w:t>61.08</w:t>
      </w:r>
      <w:r>
        <w:rPr>
          <w:rFonts w:hint="default" w:ascii="Times New Roman" w:hAnsi="Times New Roman" w:eastAsia="方正仿宋简体" w:cs="Times New Roman"/>
          <w:color w:val="000000"/>
          <w:spacing w:val="-6"/>
          <w:sz w:val="32"/>
          <w:szCs w:val="32"/>
        </w:rPr>
        <w:t>万人。普通小学招生</w:t>
      </w:r>
      <w:r>
        <w:rPr>
          <w:rFonts w:hint="default" w:ascii="Times New Roman" w:hAnsi="Times New Roman" w:eastAsia="方正仿宋简体" w:cs="Times New Roman"/>
          <w:color w:val="000000"/>
          <w:spacing w:val="-6"/>
          <w:sz w:val="32"/>
          <w:szCs w:val="32"/>
          <w:lang w:val="en-US" w:eastAsia="zh-CN"/>
        </w:rPr>
        <w:t>60.28</w:t>
      </w:r>
      <w:r>
        <w:rPr>
          <w:rFonts w:hint="default" w:ascii="Times New Roman" w:hAnsi="Times New Roman" w:eastAsia="方正仿宋简体" w:cs="Times New Roman"/>
          <w:color w:val="000000"/>
          <w:spacing w:val="-6"/>
          <w:sz w:val="32"/>
          <w:szCs w:val="32"/>
        </w:rPr>
        <w:t>万人，在校生</w:t>
      </w:r>
      <w:r>
        <w:rPr>
          <w:rFonts w:hint="default" w:ascii="Times New Roman" w:hAnsi="Times New Roman" w:eastAsia="方正仿宋简体" w:cs="Times New Roman"/>
          <w:color w:val="000000"/>
          <w:spacing w:val="-6"/>
          <w:sz w:val="32"/>
          <w:szCs w:val="32"/>
          <w:lang w:val="en-US" w:eastAsia="zh-CN"/>
        </w:rPr>
        <w:t>385.23</w:t>
      </w:r>
      <w:r>
        <w:rPr>
          <w:rFonts w:hint="default" w:ascii="Times New Roman" w:hAnsi="Times New Roman" w:eastAsia="方正仿宋简体" w:cs="Times New Roman"/>
          <w:color w:val="000000"/>
          <w:spacing w:val="-6"/>
          <w:sz w:val="32"/>
          <w:szCs w:val="32"/>
        </w:rPr>
        <w:t>万人，毕业生</w:t>
      </w:r>
      <w:r>
        <w:rPr>
          <w:rFonts w:hint="default" w:ascii="Times New Roman" w:hAnsi="Times New Roman" w:eastAsia="方正仿宋简体" w:cs="Times New Roman"/>
          <w:color w:val="000000"/>
          <w:spacing w:val="-6"/>
          <w:sz w:val="32"/>
          <w:szCs w:val="32"/>
          <w:lang w:val="en-US" w:eastAsia="zh-CN"/>
        </w:rPr>
        <w:t>63.18</w:t>
      </w:r>
      <w:r>
        <w:rPr>
          <w:rFonts w:hint="default" w:ascii="Times New Roman" w:hAnsi="Times New Roman" w:eastAsia="方正仿宋简体" w:cs="Times New Roman"/>
          <w:color w:val="000000"/>
          <w:spacing w:val="-6"/>
          <w:sz w:val="32"/>
          <w:szCs w:val="32"/>
        </w:rPr>
        <w:t>万人。</w:t>
      </w:r>
      <w:r>
        <w:rPr>
          <w:rFonts w:hint="default" w:ascii="Times New Roman" w:hAnsi="Times New Roman" w:eastAsia="方正仿宋简体" w:cs="Times New Roman"/>
          <w:color w:val="000000"/>
          <w:spacing w:val="-6"/>
          <w:kern w:val="0"/>
          <w:sz w:val="32"/>
          <w:szCs w:val="32"/>
        </w:rPr>
        <w:t>学前教育在园（班）</w:t>
      </w:r>
      <w:r>
        <w:rPr>
          <w:rFonts w:hint="default" w:ascii="Times New Roman" w:hAnsi="Times New Roman" w:eastAsia="方正仿宋简体" w:cs="Times New Roman"/>
          <w:color w:val="000000"/>
          <w:spacing w:val="-6"/>
          <w:sz w:val="32"/>
          <w:szCs w:val="32"/>
        </w:rPr>
        <w:t>幼儿</w:t>
      </w:r>
      <w:r>
        <w:rPr>
          <w:rFonts w:hint="default" w:ascii="Times New Roman" w:hAnsi="Times New Roman" w:eastAsia="方正仿宋简体" w:cs="Times New Roman"/>
          <w:color w:val="000000"/>
          <w:spacing w:val="-6"/>
          <w:sz w:val="32"/>
          <w:szCs w:val="32"/>
          <w:lang w:val="en-US" w:eastAsia="zh-CN"/>
        </w:rPr>
        <w:t>176.97</w:t>
      </w:r>
      <w:r>
        <w:rPr>
          <w:rFonts w:hint="default" w:ascii="Times New Roman" w:hAnsi="Times New Roman" w:eastAsia="方正仿宋简体" w:cs="Times New Roman"/>
          <w:color w:val="000000"/>
          <w:spacing w:val="-6"/>
          <w:sz w:val="32"/>
          <w:szCs w:val="32"/>
        </w:rPr>
        <w:t>万人。小学学龄儿童入学率</w:t>
      </w:r>
      <w:r>
        <w:rPr>
          <w:rFonts w:hint="default" w:ascii="Times New Roman" w:hAnsi="Times New Roman" w:eastAsia="方正仿宋简体" w:cs="Times New Roman"/>
          <w:color w:val="000000"/>
          <w:spacing w:val="-6"/>
          <w:sz w:val="32"/>
          <w:szCs w:val="32"/>
          <w:lang w:val="en-US" w:eastAsia="zh-CN"/>
        </w:rPr>
        <w:t>99.82</w:t>
      </w:r>
      <w:r>
        <w:rPr>
          <w:rFonts w:hint="default" w:ascii="Times New Roman" w:hAnsi="Times New Roman" w:eastAsia="方正仿宋简体" w:cs="Times New Roman"/>
          <w:color w:val="000000"/>
          <w:spacing w:val="-6"/>
          <w:sz w:val="32"/>
          <w:szCs w:val="32"/>
        </w:rPr>
        <w:t>%，小学毕业生升学率</w:t>
      </w:r>
      <w:r>
        <w:rPr>
          <w:rFonts w:hint="default" w:ascii="Times New Roman" w:hAnsi="Times New Roman" w:eastAsia="方正仿宋简体" w:cs="Times New Roman"/>
          <w:color w:val="000000"/>
          <w:spacing w:val="-6"/>
          <w:sz w:val="32"/>
          <w:szCs w:val="32"/>
          <w:lang w:val="en-US" w:eastAsia="zh-CN"/>
        </w:rPr>
        <w:t>99.34</w:t>
      </w:r>
      <w:r>
        <w:rPr>
          <w:rFonts w:hint="default" w:ascii="Times New Roman" w:hAnsi="Times New Roman" w:eastAsia="方正仿宋简体" w:cs="Times New Roman"/>
          <w:color w:val="000000"/>
          <w:spacing w:val="-6"/>
          <w:sz w:val="32"/>
          <w:szCs w:val="32"/>
        </w:rPr>
        <w:t>%。高等教育毛入学率</w:t>
      </w:r>
      <w:r>
        <w:rPr>
          <w:rFonts w:hint="default" w:ascii="Times New Roman" w:hAnsi="Times New Roman" w:eastAsia="方正仿宋简体" w:cs="Times New Roman"/>
          <w:color w:val="000000"/>
          <w:spacing w:val="-6"/>
          <w:sz w:val="32"/>
          <w:szCs w:val="32"/>
          <w:lang w:val="en-US" w:eastAsia="zh-CN"/>
        </w:rPr>
        <w:t>53.03</w:t>
      </w:r>
      <w:r>
        <w:rPr>
          <w:rFonts w:hint="default" w:ascii="Times New Roman" w:hAnsi="Times New Roman" w:eastAsia="方正仿宋简体" w:cs="Times New Roman"/>
          <w:color w:val="000000"/>
          <w:spacing w:val="-6"/>
          <w:sz w:val="32"/>
          <w:szCs w:val="32"/>
        </w:rPr>
        <w:t>%，高中阶段教育毛入学率</w:t>
      </w:r>
      <w:r>
        <w:rPr>
          <w:rFonts w:hint="default" w:ascii="Times New Roman" w:hAnsi="Times New Roman" w:eastAsia="方正仿宋简体" w:cs="Times New Roman"/>
          <w:color w:val="000000"/>
          <w:spacing w:val="-6"/>
          <w:sz w:val="32"/>
          <w:szCs w:val="32"/>
          <w:lang w:val="en-US" w:eastAsia="zh-CN"/>
        </w:rPr>
        <w:t>91.24</w:t>
      </w:r>
      <w:r>
        <w:rPr>
          <w:rFonts w:hint="default" w:ascii="Times New Roman" w:hAnsi="Times New Roman" w:eastAsia="方正仿宋简体" w:cs="Times New Roman"/>
          <w:color w:val="000000"/>
          <w:spacing w:val="-6"/>
          <w:sz w:val="32"/>
          <w:szCs w:val="32"/>
        </w:rPr>
        <w:t>%</w:t>
      </w:r>
      <w:r>
        <w:rPr>
          <w:rFonts w:hint="default" w:ascii="Times New Roman" w:hAnsi="Times New Roman" w:eastAsia="仿宋_GB2312" w:cs="Times New Roman"/>
          <w:color w:val="000000"/>
          <w:spacing w:val="-6"/>
          <w:sz w:val="32"/>
          <w:szCs w:val="32"/>
        </w:rPr>
        <w:t>，九年义务教育巩固率</w:t>
      </w:r>
      <w:r>
        <w:rPr>
          <w:rFonts w:hint="default" w:ascii="Times New Roman" w:hAnsi="Times New Roman" w:eastAsia="仿宋_GB2312" w:cs="Times New Roman"/>
          <w:color w:val="000000"/>
          <w:spacing w:val="-6"/>
          <w:sz w:val="32"/>
          <w:szCs w:val="32"/>
          <w:lang w:val="en-US" w:eastAsia="zh-CN"/>
        </w:rPr>
        <w:t>97.16</w:t>
      </w:r>
      <w:r>
        <w:rPr>
          <w:rFonts w:hint="default" w:ascii="Times New Roman" w:hAnsi="Times New Roman" w:eastAsia="仿宋_GB2312" w:cs="Times New Roman"/>
          <w:color w:val="000000"/>
          <w:spacing w:val="-6"/>
          <w:sz w:val="32"/>
          <w:szCs w:val="32"/>
        </w:rPr>
        <w:t>%。</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方正仿宋简体" w:cs="Times New Roman"/>
          <w:color w:val="000000"/>
          <w:sz w:val="32"/>
          <w:szCs w:val="32"/>
        </w:rPr>
        <w:t>年末共有国家批准组建的工程技术研究中心</w:t>
      </w:r>
      <w:r>
        <w:rPr>
          <w:rFonts w:hint="default"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个、省级工程技术研究中心</w:t>
      </w:r>
      <w:r>
        <w:rPr>
          <w:rFonts w:hint="default" w:ascii="Times New Roman" w:hAnsi="Times New Roman" w:eastAsia="方正仿宋简体" w:cs="Times New Roman"/>
          <w:color w:val="000000"/>
          <w:sz w:val="32"/>
          <w:szCs w:val="32"/>
          <w:lang w:val="en-US" w:eastAsia="zh-CN"/>
        </w:rPr>
        <w:t>123</w:t>
      </w:r>
      <w:r>
        <w:rPr>
          <w:rFonts w:hint="default" w:ascii="Times New Roman" w:hAnsi="Times New Roman" w:eastAsia="方正仿宋简体" w:cs="Times New Roman"/>
          <w:color w:val="000000"/>
          <w:sz w:val="32"/>
          <w:szCs w:val="32"/>
        </w:rPr>
        <w:t>个，国家重点</w:t>
      </w:r>
      <w:r>
        <w:rPr>
          <w:rFonts w:hint="default" w:ascii="Times New Roman" w:hAnsi="Times New Roman" w:eastAsia="方正仿宋简体" w:cs="Times New Roman"/>
          <w:color w:val="000000"/>
          <w:sz w:val="32"/>
          <w:szCs w:val="32"/>
          <w:lang w:eastAsia="zh-CN"/>
        </w:rPr>
        <w:t>实</w:t>
      </w:r>
      <w:r>
        <w:rPr>
          <w:rFonts w:hint="default" w:ascii="Times New Roman" w:hAnsi="Times New Roman" w:eastAsia="方正仿宋简体" w:cs="Times New Roman"/>
          <w:color w:val="000000"/>
          <w:sz w:val="32"/>
          <w:szCs w:val="32"/>
        </w:rPr>
        <w:t>验室</w:t>
      </w:r>
      <w:r>
        <w:rPr>
          <w:rFonts w:hint="default" w:ascii="Times New Roman" w:hAnsi="Times New Roman" w:eastAsia="方正仿宋简体" w:cs="Times New Roman"/>
          <w:color w:val="000000"/>
          <w:sz w:val="32"/>
          <w:szCs w:val="32"/>
          <w:lang w:val="en-US" w:eastAsia="zh-CN"/>
        </w:rPr>
        <w:t>7</w:t>
      </w:r>
      <w:r>
        <w:rPr>
          <w:rFonts w:hint="default" w:ascii="Times New Roman" w:hAnsi="Times New Roman" w:eastAsia="方正仿宋简体" w:cs="Times New Roman"/>
          <w:color w:val="000000"/>
          <w:sz w:val="32"/>
          <w:szCs w:val="32"/>
        </w:rPr>
        <w:t>个、省重点实验室</w:t>
      </w:r>
      <w:r>
        <w:rPr>
          <w:rFonts w:hint="default" w:ascii="Times New Roman" w:hAnsi="Times New Roman" w:eastAsia="方正仿宋简体" w:cs="Times New Roman"/>
          <w:color w:val="000000"/>
          <w:sz w:val="32"/>
          <w:szCs w:val="32"/>
          <w:lang w:val="en-US" w:eastAsia="zh-CN"/>
        </w:rPr>
        <w:t>115</w:t>
      </w:r>
      <w:r>
        <w:rPr>
          <w:rFonts w:hint="default" w:ascii="Times New Roman" w:hAnsi="Times New Roman" w:eastAsia="方正仿宋简体" w:cs="Times New Roman"/>
          <w:color w:val="000000"/>
          <w:sz w:val="32"/>
          <w:szCs w:val="32"/>
        </w:rPr>
        <w:t>个，创新型企业</w:t>
      </w:r>
      <w:r>
        <w:rPr>
          <w:rFonts w:hint="default" w:ascii="Times New Roman" w:hAnsi="Times New Roman" w:eastAsia="方正仿宋简体" w:cs="Times New Roman"/>
          <w:color w:val="000000"/>
          <w:sz w:val="32"/>
          <w:szCs w:val="32"/>
          <w:lang w:val="en-US" w:eastAsia="zh-CN"/>
        </w:rPr>
        <w:t>277</w:t>
      </w:r>
      <w:r>
        <w:rPr>
          <w:rFonts w:hint="default" w:ascii="Times New Roman" w:hAnsi="Times New Roman" w:eastAsia="方正仿宋简体" w:cs="Times New Roman"/>
          <w:color w:val="000000"/>
          <w:sz w:val="32"/>
          <w:szCs w:val="32"/>
        </w:rPr>
        <w:t>家</w:t>
      </w:r>
      <w:r>
        <w:rPr>
          <w:rFonts w:hint="default"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创新型（试点）企业</w:t>
      </w:r>
      <w:r>
        <w:rPr>
          <w:rFonts w:hint="default" w:ascii="Times New Roman" w:hAnsi="Times New Roman" w:eastAsia="方正仿宋简体" w:cs="Times New Roman"/>
          <w:color w:val="000000"/>
          <w:sz w:val="32"/>
          <w:szCs w:val="32"/>
          <w:lang w:val="en-US" w:eastAsia="zh-CN"/>
        </w:rPr>
        <w:t>154</w:t>
      </w:r>
      <w:r>
        <w:rPr>
          <w:rFonts w:hint="default" w:ascii="Times New Roman" w:hAnsi="Times New Roman" w:eastAsia="方正仿宋简体" w:cs="Times New Roman"/>
          <w:color w:val="000000"/>
          <w:sz w:val="32"/>
          <w:szCs w:val="32"/>
        </w:rPr>
        <w:t>家。全年共登记科技成果</w:t>
      </w:r>
      <w:r>
        <w:rPr>
          <w:rFonts w:hint="default" w:ascii="Times New Roman" w:hAnsi="Times New Roman" w:eastAsia="方正仿宋简体" w:cs="Times New Roman"/>
          <w:color w:val="000000"/>
          <w:sz w:val="32"/>
          <w:szCs w:val="32"/>
          <w:lang w:val="en-US" w:eastAsia="zh-CN"/>
        </w:rPr>
        <w:t>545</w:t>
      </w:r>
      <w:r>
        <w:rPr>
          <w:rFonts w:hint="default" w:ascii="Times New Roman" w:hAnsi="Times New Roman" w:eastAsia="方正仿宋简体" w:cs="Times New Roman"/>
          <w:color w:val="000000"/>
          <w:sz w:val="32"/>
          <w:szCs w:val="32"/>
        </w:rPr>
        <w:t>项，主持</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项科技成果获得202</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年国家科学技术奖励。已建立国家级高新技术产业开发区</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个，省级高新技术产业开发区</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个。</w:t>
      </w:r>
      <w:r>
        <w:rPr>
          <w:rFonts w:hint="default" w:ascii="Times New Roman" w:hAnsi="Times New Roman" w:eastAsia="方正仿宋简体" w:cs="Times New Roman"/>
          <w:color w:val="auto"/>
          <w:sz w:val="32"/>
          <w:szCs w:val="32"/>
        </w:rPr>
        <w:t>全年获</w:t>
      </w:r>
      <w:r>
        <w:rPr>
          <w:rFonts w:hint="default" w:ascii="Times New Roman" w:hAnsi="Times New Roman" w:eastAsia="方正仿宋简体" w:cs="Times New Roman"/>
          <w:color w:val="000000"/>
          <w:sz w:val="32"/>
          <w:szCs w:val="32"/>
        </w:rPr>
        <w:t>专利授权</w:t>
      </w:r>
      <w:r>
        <w:rPr>
          <w:rFonts w:hint="default" w:ascii="Times New Roman" w:hAnsi="Times New Roman" w:eastAsia="方正仿宋简体" w:cs="Times New Roman"/>
          <w:color w:val="000000"/>
          <w:sz w:val="32"/>
          <w:szCs w:val="32"/>
          <w:lang w:val="en-US" w:eastAsia="zh-CN"/>
        </w:rPr>
        <w:t>41167</w:t>
      </w:r>
      <w:r>
        <w:rPr>
          <w:rFonts w:hint="default" w:ascii="Times New Roman" w:hAnsi="Times New Roman" w:eastAsia="方正仿宋简体" w:cs="Times New Roman"/>
          <w:color w:val="000000"/>
          <w:sz w:val="32"/>
          <w:szCs w:val="32"/>
        </w:rPr>
        <w:t>件；认定登记技术合同</w:t>
      </w:r>
      <w:r>
        <w:rPr>
          <w:rFonts w:hint="default" w:ascii="Times New Roman" w:hAnsi="Times New Roman" w:eastAsia="方正仿宋简体" w:cs="Times New Roman"/>
          <w:color w:val="000000"/>
          <w:sz w:val="32"/>
          <w:szCs w:val="32"/>
          <w:lang w:val="en-US" w:eastAsia="zh-CN"/>
        </w:rPr>
        <w:t>4978</w:t>
      </w:r>
      <w:r>
        <w:rPr>
          <w:rFonts w:hint="default" w:ascii="Times New Roman" w:hAnsi="Times New Roman" w:eastAsia="方正仿宋简体" w:cs="Times New Roman"/>
          <w:color w:val="000000"/>
          <w:sz w:val="32"/>
          <w:szCs w:val="32"/>
        </w:rPr>
        <w:t>项，成交金额</w:t>
      </w:r>
      <w:r>
        <w:rPr>
          <w:rFonts w:hint="default" w:ascii="Times New Roman" w:hAnsi="Times New Roman" w:eastAsia="方正仿宋简体" w:cs="Times New Roman"/>
          <w:color w:val="000000"/>
          <w:sz w:val="32"/>
          <w:szCs w:val="32"/>
          <w:lang w:val="en-US" w:eastAsia="zh-CN"/>
        </w:rPr>
        <w:t>106.1</w:t>
      </w:r>
      <w:r>
        <w:rPr>
          <w:rFonts w:hint="eastAsia" w:ascii="Times New Roman" w:hAnsi="Times New Roman" w:eastAsia="方正仿宋简体" w:cs="Times New Roman"/>
          <w:color w:val="000000"/>
          <w:sz w:val="32"/>
          <w:szCs w:val="32"/>
          <w:lang w:val="en-US" w:eastAsia="zh-CN"/>
        </w:rPr>
        <w:t>0</w:t>
      </w:r>
      <w:r>
        <w:rPr>
          <w:rFonts w:hint="default" w:ascii="Times New Roman" w:hAnsi="Times New Roman" w:eastAsia="方正仿宋简体" w:cs="Times New Roman"/>
          <w:color w:val="000000"/>
          <w:sz w:val="32"/>
          <w:szCs w:val="32"/>
        </w:rPr>
        <w:t>亿元。</w:t>
      </w:r>
    </w:p>
    <w:p>
      <w:pPr>
        <w:keepNext w:val="0"/>
        <w:keepLines w:val="0"/>
        <w:pageBreakBefore w:val="0"/>
        <w:kinsoku/>
        <w:wordWrap/>
        <w:overflowPunct w:val="0"/>
        <w:topLinePunct w:val="0"/>
        <w:autoSpaceDE/>
        <w:autoSpaceDN/>
        <w:bidi w:val="0"/>
        <w:adjustRightInd/>
        <w:spacing w:before="156" w:beforeLines="50" w:after="156" w:afterLines="50" w:line="56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九、文化、卫生和体育</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年末全省共有各种艺术表演团体</w:t>
      </w:r>
      <w:r>
        <w:rPr>
          <w:rStyle w:val="15"/>
          <w:rFonts w:hint="default" w:ascii="Times New Roman" w:hAnsi="Times New Roman" w:eastAsia="方正仿宋简体" w:cs="Times New Roman"/>
          <w:color w:val="000000"/>
          <w:sz w:val="32"/>
          <w:szCs w:val="32"/>
        </w:rPr>
        <w:t>[</w:t>
      </w:r>
      <w:r>
        <w:rPr>
          <w:rStyle w:val="15"/>
          <w:rFonts w:hint="default" w:ascii="Times New Roman" w:hAnsi="Times New Roman" w:eastAsia="方正仿宋简体" w:cs="Times New Roman"/>
          <w:color w:val="000000"/>
          <w:sz w:val="32"/>
          <w:szCs w:val="32"/>
        </w:rPr>
        <w:endnoteReference w:id="13"/>
      </w:r>
      <w:r>
        <w:rPr>
          <w:rStyle w:val="15"/>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val="en-US" w:eastAsia="zh-CN"/>
        </w:rPr>
        <w:t>99</w:t>
      </w:r>
      <w:r>
        <w:rPr>
          <w:rFonts w:hint="default" w:ascii="Times New Roman" w:hAnsi="Times New Roman" w:eastAsia="方正仿宋简体" w:cs="Times New Roman"/>
          <w:color w:val="000000"/>
          <w:sz w:val="32"/>
          <w:szCs w:val="32"/>
        </w:rPr>
        <w:t>个，文化馆</w:t>
      </w:r>
      <w:r>
        <w:rPr>
          <w:rFonts w:hint="default" w:ascii="Times New Roman" w:hAnsi="Times New Roman" w:eastAsia="方正仿宋简体" w:cs="Times New Roman"/>
          <w:color w:val="000000"/>
          <w:sz w:val="32"/>
          <w:szCs w:val="32"/>
          <w:lang w:val="en-US" w:eastAsia="zh-CN"/>
        </w:rPr>
        <w:t>149</w:t>
      </w:r>
      <w:r>
        <w:rPr>
          <w:rFonts w:hint="default" w:ascii="Times New Roman" w:hAnsi="Times New Roman" w:eastAsia="方正仿宋简体" w:cs="Times New Roman"/>
          <w:color w:val="000000"/>
          <w:sz w:val="32"/>
          <w:szCs w:val="32"/>
        </w:rPr>
        <w:t>个，公共图书馆</w:t>
      </w:r>
      <w:r>
        <w:rPr>
          <w:rFonts w:hint="default" w:ascii="Times New Roman" w:hAnsi="Times New Roman" w:eastAsia="方正仿宋简体" w:cs="Times New Roman"/>
          <w:color w:val="000000"/>
          <w:sz w:val="32"/>
          <w:szCs w:val="32"/>
          <w:lang w:val="en-US" w:eastAsia="zh-CN"/>
        </w:rPr>
        <w:t>150</w:t>
      </w:r>
      <w:r>
        <w:rPr>
          <w:rFonts w:hint="default" w:ascii="Times New Roman" w:hAnsi="Times New Roman" w:eastAsia="方正仿宋简体" w:cs="Times New Roman"/>
          <w:color w:val="000000"/>
          <w:sz w:val="32"/>
          <w:szCs w:val="32"/>
        </w:rPr>
        <w:t>个，博物馆</w:t>
      </w:r>
      <w:r>
        <w:rPr>
          <w:rFonts w:hint="default" w:ascii="Times New Roman" w:hAnsi="Times New Roman" w:eastAsia="方正仿宋简体" w:cs="Times New Roman"/>
          <w:color w:val="000000"/>
          <w:sz w:val="32"/>
          <w:szCs w:val="32"/>
          <w:lang w:val="en-US" w:eastAsia="zh-CN"/>
        </w:rPr>
        <w:t>169</w:t>
      </w:r>
      <w:r>
        <w:rPr>
          <w:rFonts w:hint="default" w:ascii="Times New Roman" w:hAnsi="Times New Roman" w:eastAsia="方正仿宋简体" w:cs="Times New Roman"/>
          <w:color w:val="000000"/>
          <w:sz w:val="32"/>
          <w:szCs w:val="32"/>
        </w:rPr>
        <w:t>个。全省广播、电视人口覆盖率分别达到</w:t>
      </w:r>
      <w:r>
        <w:rPr>
          <w:rFonts w:hint="default" w:ascii="Times New Roman" w:hAnsi="Times New Roman" w:eastAsia="方正仿宋简体" w:cs="Times New Roman"/>
          <w:color w:val="000000"/>
          <w:sz w:val="32"/>
          <w:szCs w:val="32"/>
          <w:lang w:val="en-US" w:eastAsia="zh-CN"/>
        </w:rPr>
        <w:t>99.60</w:t>
      </w:r>
      <w:r>
        <w:rPr>
          <w:rFonts w:hint="default" w:ascii="Times New Roman" w:hAnsi="Times New Roman" w:eastAsia="方正仿宋简体" w:cs="Times New Roman"/>
          <w:color w:val="000000"/>
          <w:sz w:val="32"/>
          <w:szCs w:val="32"/>
        </w:rPr>
        <w:t>%和</w:t>
      </w:r>
      <w:r>
        <w:rPr>
          <w:rFonts w:hint="default" w:ascii="Times New Roman" w:hAnsi="Times New Roman" w:eastAsia="方正仿宋简体" w:cs="Times New Roman"/>
          <w:color w:val="000000"/>
          <w:sz w:val="32"/>
          <w:szCs w:val="32"/>
          <w:lang w:val="en-US" w:eastAsia="zh-CN"/>
        </w:rPr>
        <w:t>99.63</w:t>
      </w:r>
      <w:r>
        <w:rPr>
          <w:rFonts w:hint="default" w:ascii="Times New Roman" w:hAnsi="Times New Roman" w:eastAsia="方正仿宋简体" w:cs="Times New Roman"/>
          <w:color w:val="000000"/>
          <w:sz w:val="32"/>
          <w:szCs w:val="32"/>
        </w:rPr>
        <w:t>%。中、短波转播发射台</w:t>
      </w:r>
      <w:r>
        <w:rPr>
          <w:rFonts w:hint="default" w:ascii="Times New Roman" w:hAnsi="Times New Roman" w:eastAsia="方正仿宋简体" w:cs="Times New Roman"/>
          <w:color w:val="000000"/>
          <w:sz w:val="32"/>
          <w:szCs w:val="32"/>
          <w:lang w:val="en-US" w:eastAsia="zh-CN"/>
        </w:rPr>
        <w:t>50</w:t>
      </w:r>
      <w:r>
        <w:rPr>
          <w:rFonts w:hint="default" w:ascii="Times New Roman" w:hAnsi="Times New Roman" w:eastAsia="方正仿宋简体" w:cs="Times New Roman"/>
          <w:color w:val="000000"/>
          <w:sz w:val="32"/>
          <w:szCs w:val="32"/>
        </w:rPr>
        <w:t>座，广播电视</w:t>
      </w:r>
      <w:r>
        <w:rPr>
          <w:rFonts w:hint="default" w:ascii="Times New Roman" w:hAnsi="Times New Roman" w:eastAsia="方正仿宋简体" w:cs="Times New Roman"/>
          <w:color w:val="000000"/>
          <w:sz w:val="32"/>
          <w:szCs w:val="32"/>
          <w:lang w:eastAsia="zh-CN"/>
        </w:rPr>
        <w:t>播出机构</w:t>
      </w:r>
      <w:r>
        <w:rPr>
          <w:rFonts w:hint="default" w:ascii="Times New Roman" w:hAnsi="Times New Roman" w:eastAsia="方正仿宋简体" w:cs="Times New Roman"/>
          <w:color w:val="000000"/>
          <w:sz w:val="32"/>
          <w:szCs w:val="32"/>
          <w:lang w:val="en-US" w:eastAsia="zh-CN"/>
        </w:rPr>
        <w:t>137</w:t>
      </w:r>
      <w:r>
        <w:rPr>
          <w:rFonts w:hint="default" w:ascii="Times New Roman" w:hAnsi="Times New Roman" w:eastAsia="方正仿宋简体" w:cs="Times New Roman"/>
          <w:color w:val="000000"/>
          <w:sz w:val="32"/>
          <w:szCs w:val="32"/>
          <w:lang w:eastAsia="zh-CN"/>
        </w:rPr>
        <w:t>家</w:t>
      </w:r>
      <w:r>
        <w:rPr>
          <w:rFonts w:hint="default" w:ascii="Times New Roman" w:hAnsi="Times New Roman" w:eastAsia="方正仿宋简体" w:cs="Times New Roman"/>
          <w:color w:val="000000"/>
          <w:sz w:val="32"/>
          <w:szCs w:val="32"/>
        </w:rPr>
        <w:t>，有线电视实际用户</w:t>
      </w:r>
      <w:r>
        <w:rPr>
          <w:rFonts w:hint="default" w:ascii="Times New Roman" w:hAnsi="Times New Roman" w:eastAsia="方正仿宋简体" w:cs="Times New Roman"/>
          <w:color w:val="000000"/>
          <w:sz w:val="32"/>
          <w:szCs w:val="32"/>
          <w:lang w:val="en-US" w:eastAsia="zh-CN"/>
        </w:rPr>
        <w:t>335.33</w:t>
      </w:r>
      <w:r>
        <w:rPr>
          <w:rFonts w:hint="default" w:ascii="Times New Roman" w:hAnsi="Times New Roman" w:eastAsia="方正仿宋简体" w:cs="Times New Roman"/>
          <w:color w:val="000000"/>
          <w:sz w:val="32"/>
          <w:szCs w:val="32"/>
        </w:rPr>
        <w:t>万户。</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年末全省共有医疗卫生机构</w:t>
      </w:r>
      <w:r>
        <w:rPr>
          <w:rFonts w:hint="default" w:ascii="Times New Roman" w:hAnsi="Times New Roman" w:eastAsia="仿宋_GB2312" w:cs="Times New Roman"/>
          <w:color w:val="000000"/>
          <w:sz w:val="32"/>
          <w:szCs w:val="32"/>
          <w:lang w:val="en-US" w:eastAsia="zh-CN"/>
        </w:rPr>
        <w:t>26879</w:t>
      </w:r>
      <w:r>
        <w:rPr>
          <w:rFonts w:hint="default" w:ascii="Times New Roman" w:hAnsi="Times New Roman" w:eastAsia="仿宋_GB2312" w:cs="Times New Roman"/>
          <w:color w:val="000000"/>
          <w:sz w:val="32"/>
          <w:szCs w:val="32"/>
        </w:rPr>
        <w:t>个，其中</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医院</w:t>
      </w:r>
      <w:r>
        <w:rPr>
          <w:rFonts w:hint="default" w:ascii="Times New Roman" w:hAnsi="Times New Roman" w:eastAsia="仿宋_GB2312" w:cs="Times New Roman"/>
          <w:color w:val="000000"/>
          <w:sz w:val="32"/>
          <w:szCs w:val="32"/>
          <w:lang w:val="en-US" w:eastAsia="zh-CN"/>
        </w:rPr>
        <w:t>1405</w:t>
      </w:r>
      <w:r>
        <w:rPr>
          <w:rFonts w:hint="default" w:ascii="Times New Roman" w:hAnsi="Times New Roman" w:eastAsia="仿宋_GB2312" w:cs="Times New Roman"/>
          <w:color w:val="000000"/>
          <w:sz w:val="32"/>
          <w:szCs w:val="32"/>
        </w:rPr>
        <w:t>个，在医院中有公立医院</w:t>
      </w:r>
      <w:r>
        <w:rPr>
          <w:rFonts w:hint="default" w:ascii="Times New Roman" w:hAnsi="Times New Roman" w:eastAsia="仿宋_GB2312" w:cs="Times New Roman"/>
          <w:color w:val="000000"/>
          <w:sz w:val="32"/>
          <w:szCs w:val="32"/>
          <w:lang w:val="en-US" w:eastAsia="zh-CN"/>
        </w:rPr>
        <w:t>449</w:t>
      </w:r>
      <w:r>
        <w:rPr>
          <w:rFonts w:hint="default" w:ascii="Times New Roman" w:hAnsi="Times New Roman" w:eastAsia="仿宋_GB2312" w:cs="Times New Roman"/>
          <w:color w:val="000000"/>
          <w:sz w:val="32"/>
          <w:szCs w:val="32"/>
        </w:rPr>
        <w:t>个，民营医院</w:t>
      </w:r>
      <w:r>
        <w:rPr>
          <w:rFonts w:hint="default" w:ascii="Times New Roman" w:hAnsi="Times New Roman" w:eastAsia="仿宋_GB2312" w:cs="Times New Roman"/>
          <w:color w:val="000000"/>
          <w:sz w:val="32"/>
          <w:szCs w:val="32"/>
          <w:lang w:val="en-US" w:eastAsia="zh-CN"/>
        </w:rPr>
        <w:t>956</w:t>
      </w:r>
      <w:r>
        <w:rPr>
          <w:rFonts w:hint="default" w:ascii="Times New Roman" w:hAnsi="Times New Roman" w:eastAsia="仿宋_GB2312" w:cs="Times New Roman"/>
          <w:color w:val="000000"/>
          <w:sz w:val="32"/>
          <w:szCs w:val="32"/>
        </w:rPr>
        <w:t>个；医疗卫生机构拥有床位数</w:t>
      </w:r>
      <w:r>
        <w:rPr>
          <w:rFonts w:hint="default" w:ascii="Times New Roman" w:hAnsi="Times New Roman" w:eastAsia="仿宋_GB2312" w:cs="Times New Roman"/>
          <w:color w:val="000000"/>
          <w:sz w:val="32"/>
          <w:szCs w:val="32"/>
          <w:lang w:val="en-US" w:eastAsia="zh-CN"/>
        </w:rPr>
        <w:t>33.4</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万张，卫生技术人员</w:t>
      </w:r>
      <w:r>
        <w:rPr>
          <w:rFonts w:hint="default" w:ascii="Times New Roman" w:hAnsi="Times New Roman" w:eastAsia="仿宋_GB2312" w:cs="Times New Roman"/>
          <w:color w:val="000000"/>
          <w:sz w:val="32"/>
          <w:szCs w:val="32"/>
          <w:lang w:val="en-US" w:eastAsia="zh-CN"/>
        </w:rPr>
        <w:t>37.9</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万人，其中执业（助理）医师</w:t>
      </w:r>
      <w:r>
        <w:rPr>
          <w:rFonts w:hint="default" w:ascii="Times New Roman" w:hAnsi="Times New Roman" w:eastAsia="仿宋_GB2312" w:cs="Times New Roman"/>
          <w:color w:val="000000"/>
          <w:sz w:val="32"/>
          <w:szCs w:val="32"/>
          <w:lang w:val="en-US" w:eastAsia="zh-CN"/>
        </w:rPr>
        <w:t>12.66</w:t>
      </w:r>
      <w:r>
        <w:rPr>
          <w:rFonts w:hint="default" w:ascii="Times New Roman" w:hAnsi="Times New Roman" w:eastAsia="仿宋_GB2312" w:cs="Times New Roman"/>
          <w:color w:val="000000"/>
          <w:sz w:val="32"/>
          <w:szCs w:val="32"/>
        </w:rPr>
        <w:t>万人。疾病预防控制中心</w:t>
      </w:r>
      <w:r>
        <w:rPr>
          <w:rFonts w:hint="default" w:ascii="Times New Roman" w:hAnsi="Times New Roman" w:eastAsia="仿宋_GB2312" w:cs="Times New Roman"/>
          <w:color w:val="000000"/>
          <w:sz w:val="32"/>
          <w:szCs w:val="32"/>
          <w:lang w:val="en-US" w:eastAsia="zh-CN"/>
        </w:rPr>
        <w:t>150</w:t>
      </w:r>
      <w:r>
        <w:rPr>
          <w:rFonts w:hint="default" w:ascii="Times New Roman" w:hAnsi="Times New Roman" w:eastAsia="仿宋_GB2312" w:cs="Times New Roman"/>
          <w:color w:val="000000"/>
          <w:sz w:val="32"/>
          <w:szCs w:val="32"/>
        </w:rPr>
        <w:t>个，卫生技术人员</w:t>
      </w:r>
      <w:r>
        <w:rPr>
          <w:rFonts w:hint="default" w:ascii="Times New Roman" w:hAnsi="Times New Roman" w:eastAsia="仿宋_GB2312" w:cs="Times New Roman"/>
          <w:color w:val="000000"/>
          <w:sz w:val="32"/>
          <w:szCs w:val="32"/>
          <w:lang w:val="en-US" w:eastAsia="zh-CN"/>
        </w:rPr>
        <w:t>0.80</w:t>
      </w:r>
      <w:r>
        <w:rPr>
          <w:rFonts w:hint="eastAsia" w:ascii="Times New Roman" w:hAnsi="Times New Roman" w:eastAsia="仿宋_GB2312" w:cs="Times New Roman"/>
          <w:color w:val="000000"/>
          <w:sz w:val="32"/>
          <w:szCs w:val="32"/>
          <w:lang w:val="en-US" w:eastAsia="zh-CN"/>
        </w:rPr>
        <w:t>万</w:t>
      </w:r>
      <w:r>
        <w:rPr>
          <w:rFonts w:hint="default" w:ascii="Times New Roman" w:hAnsi="Times New Roman" w:eastAsia="仿宋_GB2312" w:cs="Times New Roman"/>
          <w:color w:val="000000"/>
          <w:sz w:val="32"/>
          <w:szCs w:val="32"/>
        </w:rPr>
        <w:t>人；专科疾病防治院（所、站）</w:t>
      </w:r>
      <w:r>
        <w:rPr>
          <w:rFonts w:hint="default" w:ascii="Times New Roman" w:hAnsi="Times New Roman" w:eastAsia="仿宋_GB2312" w:cs="Times New Roman"/>
          <w:color w:val="000000"/>
          <w:sz w:val="32"/>
          <w:szCs w:val="32"/>
          <w:lang w:val="en-US" w:eastAsia="zh-CN"/>
        </w:rPr>
        <w:t>28</w:t>
      </w:r>
      <w:r>
        <w:rPr>
          <w:rFonts w:hint="default" w:ascii="Times New Roman" w:hAnsi="Times New Roman" w:eastAsia="仿宋_GB2312" w:cs="Times New Roman"/>
          <w:color w:val="000000"/>
          <w:sz w:val="32"/>
          <w:szCs w:val="32"/>
        </w:rPr>
        <w:t>个，卫生技术人员</w:t>
      </w:r>
      <w:r>
        <w:rPr>
          <w:rFonts w:hint="default" w:ascii="Times New Roman" w:hAnsi="Times New Roman" w:eastAsia="仿宋_GB2312" w:cs="Times New Roman"/>
          <w:color w:val="000000"/>
          <w:sz w:val="32"/>
          <w:szCs w:val="32"/>
          <w:lang w:val="en-US" w:eastAsia="zh-CN"/>
        </w:rPr>
        <w:t>918</w:t>
      </w:r>
      <w:r>
        <w:rPr>
          <w:rFonts w:hint="default" w:ascii="Times New Roman" w:hAnsi="Times New Roman" w:eastAsia="仿宋_GB2312" w:cs="Times New Roman"/>
          <w:color w:val="000000"/>
          <w:sz w:val="32"/>
          <w:szCs w:val="32"/>
        </w:rPr>
        <w:t>人；妇幼保健院（所、站）</w:t>
      </w:r>
      <w:r>
        <w:rPr>
          <w:rFonts w:hint="default" w:ascii="Times New Roman" w:hAnsi="Times New Roman" w:eastAsia="仿宋_GB2312" w:cs="Times New Roman"/>
          <w:color w:val="000000"/>
          <w:sz w:val="32"/>
          <w:szCs w:val="32"/>
          <w:lang w:val="en-US" w:eastAsia="zh-CN"/>
        </w:rPr>
        <w:t>147</w:t>
      </w:r>
      <w:r>
        <w:rPr>
          <w:rFonts w:hint="default" w:ascii="Times New Roman" w:hAnsi="Times New Roman" w:eastAsia="仿宋_GB2312" w:cs="Times New Roman"/>
          <w:color w:val="000000"/>
          <w:sz w:val="32"/>
          <w:szCs w:val="32"/>
        </w:rPr>
        <w:t>个，卫生技术人员</w:t>
      </w:r>
      <w:r>
        <w:rPr>
          <w:rFonts w:hint="default" w:ascii="Times New Roman" w:hAnsi="Times New Roman" w:eastAsia="仿宋_GB2312" w:cs="Times New Roman"/>
          <w:color w:val="000000"/>
          <w:sz w:val="32"/>
          <w:szCs w:val="32"/>
          <w:lang w:val="en-US" w:eastAsia="zh-CN"/>
        </w:rPr>
        <w:t>1.96</w:t>
      </w:r>
      <w:r>
        <w:rPr>
          <w:rFonts w:hint="eastAsia" w:ascii="Times New Roman" w:hAnsi="Times New Roman" w:eastAsia="仿宋_GB2312" w:cs="Times New Roman"/>
          <w:color w:val="000000"/>
          <w:sz w:val="32"/>
          <w:szCs w:val="32"/>
          <w:lang w:val="en-US" w:eastAsia="zh-CN"/>
        </w:rPr>
        <w:t>万</w:t>
      </w:r>
      <w:r>
        <w:rPr>
          <w:rFonts w:hint="default" w:ascii="Times New Roman" w:hAnsi="Times New Roman" w:eastAsia="仿宋_GB2312" w:cs="Times New Roman"/>
          <w:color w:val="000000"/>
          <w:sz w:val="32"/>
          <w:szCs w:val="32"/>
        </w:rPr>
        <w:t>人。乡镇卫生院</w:t>
      </w:r>
      <w:r>
        <w:rPr>
          <w:rFonts w:hint="default" w:ascii="Times New Roman" w:hAnsi="Times New Roman" w:eastAsia="仿宋_GB2312" w:cs="Times New Roman"/>
          <w:color w:val="000000"/>
          <w:sz w:val="32"/>
          <w:szCs w:val="32"/>
          <w:lang w:val="en-US" w:eastAsia="zh-CN"/>
        </w:rPr>
        <w:t>1369</w:t>
      </w:r>
      <w:r>
        <w:rPr>
          <w:rFonts w:hint="default" w:ascii="Times New Roman" w:hAnsi="Times New Roman" w:eastAsia="仿宋_GB2312" w:cs="Times New Roman"/>
          <w:color w:val="000000"/>
          <w:sz w:val="32"/>
          <w:szCs w:val="32"/>
        </w:rPr>
        <w:t>个，床位</w:t>
      </w:r>
      <w:r>
        <w:rPr>
          <w:rFonts w:hint="default" w:ascii="Times New Roman" w:hAnsi="Times New Roman" w:eastAsia="仿宋_GB2312" w:cs="Times New Roman"/>
          <w:color w:val="000000"/>
          <w:sz w:val="32"/>
          <w:szCs w:val="32"/>
          <w:lang w:val="en-US" w:eastAsia="zh-CN"/>
        </w:rPr>
        <w:t>5.51</w:t>
      </w:r>
      <w:r>
        <w:rPr>
          <w:rFonts w:hint="eastAsia" w:ascii="Times New Roman" w:hAnsi="Times New Roman" w:eastAsia="仿宋_GB2312" w:cs="Times New Roman"/>
          <w:color w:val="000000"/>
          <w:sz w:val="32"/>
          <w:szCs w:val="32"/>
          <w:lang w:val="en-US" w:eastAsia="zh-CN"/>
        </w:rPr>
        <w:t>万</w:t>
      </w:r>
      <w:r>
        <w:rPr>
          <w:rFonts w:hint="default" w:ascii="Times New Roman" w:hAnsi="Times New Roman" w:eastAsia="仿宋_GB2312" w:cs="Times New Roman"/>
          <w:color w:val="000000"/>
          <w:sz w:val="32"/>
          <w:szCs w:val="32"/>
        </w:rPr>
        <w:t>张，卫生技术人员</w:t>
      </w:r>
      <w:r>
        <w:rPr>
          <w:rFonts w:hint="default" w:ascii="Times New Roman" w:hAnsi="Times New Roman" w:eastAsia="仿宋_GB2312" w:cs="Times New Roman"/>
          <w:color w:val="000000"/>
          <w:sz w:val="32"/>
          <w:szCs w:val="32"/>
          <w:lang w:val="en-US" w:eastAsia="zh-CN"/>
        </w:rPr>
        <w:t>5.65</w:t>
      </w:r>
      <w:r>
        <w:rPr>
          <w:rFonts w:hint="eastAsia" w:ascii="Times New Roman" w:hAnsi="Times New Roman" w:eastAsia="仿宋_GB2312" w:cs="Times New Roman"/>
          <w:color w:val="000000"/>
          <w:sz w:val="32"/>
          <w:szCs w:val="32"/>
          <w:lang w:val="en-US" w:eastAsia="zh-CN"/>
        </w:rPr>
        <w:t>万</w:t>
      </w:r>
      <w:r>
        <w:rPr>
          <w:rFonts w:hint="default" w:ascii="Times New Roman" w:hAnsi="Times New Roman" w:eastAsia="仿宋_GB2312" w:cs="Times New Roman"/>
          <w:color w:val="000000"/>
          <w:sz w:val="32"/>
          <w:szCs w:val="32"/>
        </w:rPr>
        <w:t>人。全年总诊疗人次</w:t>
      </w:r>
      <w:r>
        <w:rPr>
          <w:rStyle w:val="15"/>
          <w:rFonts w:hint="default" w:ascii="Times New Roman" w:hAnsi="Times New Roman" w:eastAsia="仿宋_GB2312" w:cs="Times New Roman"/>
          <w:color w:val="000000"/>
          <w:sz w:val="32"/>
          <w:szCs w:val="32"/>
        </w:rPr>
        <w:t>[</w:t>
      </w:r>
      <w:r>
        <w:rPr>
          <w:rStyle w:val="15"/>
          <w:rFonts w:hint="default" w:ascii="Times New Roman" w:hAnsi="Times New Roman" w:eastAsia="仿宋_GB2312" w:cs="Times New Roman"/>
          <w:color w:val="000000"/>
          <w:sz w:val="32"/>
          <w:szCs w:val="32"/>
        </w:rPr>
        <w:endnoteReference w:id="14"/>
      </w:r>
      <w:r>
        <w:rPr>
          <w:rStyle w:val="15"/>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29453.05</w:t>
      </w:r>
      <w:r>
        <w:rPr>
          <w:rFonts w:hint="default" w:ascii="Times New Roman" w:hAnsi="Times New Roman" w:eastAsia="仿宋_GB2312" w:cs="Times New Roman"/>
          <w:color w:val="000000"/>
          <w:sz w:val="32"/>
          <w:szCs w:val="32"/>
        </w:rPr>
        <w:t>万人次，出院人数</w:t>
      </w:r>
      <w:r>
        <w:rPr>
          <w:rStyle w:val="15"/>
          <w:rFonts w:hint="default" w:ascii="Times New Roman" w:hAnsi="Times New Roman" w:eastAsia="仿宋_GB2312" w:cs="Times New Roman"/>
          <w:color w:val="000000"/>
          <w:sz w:val="32"/>
          <w:szCs w:val="32"/>
        </w:rPr>
        <w:t>[</w:t>
      </w:r>
      <w:r>
        <w:rPr>
          <w:rStyle w:val="15"/>
          <w:rFonts w:hint="default" w:ascii="Times New Roman" w:hAnsi="Times New Roman" w:eastAsia="仿宋_GB2312" w:cs="Times New Roman"/>
          <w:color w:val="000000"/>
          <w:sz w:val="32"/>
          <w:szCs w:val="32"/>
        </w:rPr>
        <w:endnoteReference w:id="15"/>
      </w:r>
      <w:r>
        <w:rPr>
          <w:rStyle w:val="15"/>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991.60</w:t>
      </w:r>
      <w:r>
        <w:rPr>
          <w:rFonts w:hint="default" w:ascii="Times New Roman" w:hAnsi="Times New Roman" w:eastAsia="仿宋_GB2312" w:cs="Times New Roman"/>
          <w:color w:val="000000"/>
          <w:sz w:val="32"/>
          <w:szCs w:val="32"/>
        </w:rPr>
        <w:t>万人。</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仿宋简体" w:cs="Times New Roman"/>
          <w:spacing w:val="-6"/>
          <w:sz w:val="32"/>
          <w:szCs w:val="32"/>
        </w:rPr>
      </w:pPr>
      <w:r>
        <w:rPr>
          <w:rFonts w:hint="default" w:ascii="Times New Roman" w:hAnsi="Times New Roman" w:eastAsia="方正仿宋简体" w:cs="Times New Roman"/>
          <w:sz w:val="32"/>
          <w:szCs w:val="32"/>
        </w:rPr>
        <w:t>全年云南运动员在国际比赛中获金、银、铜牌</w:t>
      </w:r>
      <w:r>
        <w:rPr>
          <w:rFonts w:hint="default" w:ascii="Times New Roman" w:hAnsi="Times New Roman" w:eastAsia="方正仿宋简体" w:cs="Times New Roman"/>
          <w:sz w:val="32"/>
          <w:szCs w:val="32"/>
          <w:lang w:val="en-US" w:eastAsia="zh-CN"/>
        </w:rPr>
        <w:t>15</w:t>
      </w:r>
      <w:r>
        <w:rPr>
          <w:rFonts w:hint="default" w:ascii="Times New Roman" w:hAnsi="Times New Roman" w:eastAsia="方正仿宋简体" w:cs="Times New Roman"/>
          <w:sz w:val="32"/>
          <w:szCs w:val="32"/>
        </w:rPr>
        <w:t>枚；在全国比赛中获金、银、铜牌</w:t>
      </w:r>
      <w:r>
        <w:rPr>
          <w:rFonts w:hint="default" w:ascii="Times New Roman" w:hAnsi="Times New Roman" w:eastAsia="方正仿宋简体" w:cs="Times New Roman"/>
          <w:sz w:val="32"/>
          <w:szCs w:val="32"/>
          <w:lang w:val="en-US" w:eastAsia="zh-CN"/>
        </w:rPr>
        <w:t>208</w:t>
      </w:r>
      <w:r>
        <w:rPr>
          <w:rFonts w:hint="default" w:ascii="Times New Roman" w:hAnsi="Times New Roman" w:eastAsia="方正仿宋简体" w:cs="Times New Roman"/>
          <w:sz w:val="32"/>
          <w:szCs w:val="32"/>
        </w:rPr>
        <w:t>枚。</w:t>
      </w:r>
      <w:r>
        <w:rPr>
          <w:rFonts w:hint="default" w:ascii="Times New Roman" w:hAnsi="Times New Roman" w:eastAsia="方正仿宋简体" w:cs="Times New Roman"/>
          <w:spacing w:val="-6"/>
          <w:sz w:val="32"/>
          <w:szCs w:val="32"/>
          <w:lang w:val="en-US" w:eastAsia="zh-CN"/>
        </w:rPr>
        <w:t>全年销售体育彩票100.85亿元。</w:t>
      </w:r>
    </w:p>
    <w:p>
      <w:pPr>
        <w:keepNext w:val="0"/>
        <w:keepLines w:val="0"/>
        <w:pageBreakBefore w:val="0"/>
        <w:kinsoku/>
        <w:wordWrap/>
        <w:overflowPunct w:val="0"/>
        <w:topLinePunct w:val="0"/>
        <w:autoSpaceDE/>
        <w:autoSpaceDN/>
        <w:bidi w:val="0"/>
        <w:adjustRightInd/>
        <w:spacing w:before="156" w:beforeLines="50" w:after="156" w:afterLines="50" w:line="560" w:lineRule="exact"/>
        <w:jc w:val="center"/>
        <w:rPr>
          <w:rFonts w:hint="default" w:ascii="Times New Roman" w:hAnsi="Times New Roman" w:eastAsia="黑体" w:cs="Times New Roman"/>
          <w:bCs/>
          <w:sz w:val="32"/>
          <w:szCs w:val="32"/>
          <w:highlight w:val="yellow"/>
        </w:rPr>
      </w:pPr>
      <w:r>
        <w:rPr>
          <w:rFonts w:hint="default" w:ascii="Times New Roman" w:hAnsi="Times New Roman" w:eastAsia="黑体" w:cs="Times New Roman"/>
          <w:sz w:val="32"/>
          <w:szCs w:val="32"/>
        </w:rPr>
        <w:t>十、资源、环境和应急管理</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全年在规模以上工业主要能源消费量中，焦炭消费量1005.14万吨，</w:t>
      </w:r>
      <w:r>
        <w:rPr>
          <w:rFonts w:hint="eastAsia" w:ascii="Times New Roman" w:hAnsi="Times New Roman" w:eastAsia="方正仿宋简体" w:cs="Times New Roman"/>
          <w:sz w:val="32"/>
          <w:szCs w:val="32"/>
          <w:lang w:eastAsia="zh-CN"/>
        </w:rPr>
        <w:t>比上年</w:t>
      </w:r>
      <w:r>
        <w:rPr>
          <w:rFonts w:hint="default" w:ascii="Times New Roman" w:hAnsi="Times New Roman" w:eastAsia="方正仿宋简体" w:cs="Times New Roman"/>
          <w:sz w:val="32"/>
          <w:szCs w:val="32"/>
        </w:rPr>
        <w:t>下降2.8%；天然气消费量20.13亿立方米，增长9.8%；电力消费量1353.73亿千瓦时，增长4.2%。规模以上单位工业增加值能耗下降7.8%。</w:t>
      </w:r>
    </w:p>
    <w:p>
      <w:pPr>
        <w:keepNext w:val="0"/>
        <w:keepLines w:val="0"/>
        <w:pageBreakBefore w:val="0"/>
        <w:kinsoku/>
        <w:wordWrap/>
        <w:overflowPunct w:val="0"/>
        <w:topLinePunct w:val="0"/>
        <w:autoSpaceDE/>
        <w:autoSpaceDN/>
        <w:bidi w:val="0"/>
        <w:adjustRightInd/>
        <w:spacing w:line="56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全年水资源总量</w:t>
      </w:r>
      <w:r>
        <w:rPr>
          <w:rFonts w:hint="default" w:ascii="Times New Roman" w:hAnsi="Times New Roman" w:eastAsia="方正仿宋简体" w:cs="Times New Roman"/>
          <w:sz w:val="32"/>
          <w:szCs w:val="32"/>
          <w:lang w:val="en-US" w:eastAsia="zh-CN"/>
        </w:rPr>
        <w:t>1615</w:t>
      </w:r>
      <w:r>
        <w:rPr>
          <w:rFonts w:hint="default" w:ascii="Times New Roman" w:hAnsi="Times New Roman" w:eastAsia="方正仿宋简体" w:cs="Times New Roman"/>
          <w:sz w:val="32"/>
          <w:szCs w:val="32"/>
        </w:rPr>
        <w:t>亿立方米。全年平均降水量</w:t>
      </w:r>
      <w:r>
        <w:rPr>
          <w:rFonts w:hint="default" w:ascii="Times New Roman" w:hAnsi="Times New Roman" w:eastAsia="方正仿宋简体" w:cs="Times New Roman"/>
          <w:sz w:val="32"/>
          <w:szCs w:val="32"/>
          <w:lang w:val="en-US" w:eastAsia="zh-CN"/>
        </w:rPr>
        <w:t>1123.3</w:t>
      </w:r>
      <w:r>
        <w:rPr>
          <w:rFonts w:hint="default" w:ascii="Times New Roman" w:hAnsi="Times New Roman" w:eastAsia="方正仿宋简体" w:cs="Times New Roman"/>
          <w:sz w:val="32"/>
          <w:szCs w:val="32"/>
        </w:rPr>
        <w:t>毫米。年末全省水利工程蓄水总量</w:t>
      </w:r>
      <w:r>
        <w:rPr>
          <w:rFonts w:hint="default" w:ascii="Times New Roman" w:hAnsi="Times New Roman" w:eastAsia="方正仿宋简体" w:cs="Times New Roman"/>
          <w:sz w:val="32"/>
          <w:szCs w:val="32"/>
          <w:lang w:val="en-US" w:eastAsia="zh-CN"/>
        </w:rPr>
        <w:t>85.15</w:t>
      </w:r>
      <w:r>
        <w:rPr>
          <w:rFonts w:hint="default" w:ascii="Times New Roman" w:hAnsi="Times New Roman" w:eastAsia="方正仿宋简体" w:cs="Times New Roman"/>
          <w:sz w:val="32"/>
          <w:szCs w:val="32"/>
        </w:rPr>
        <w:t>亿立方米（大、中、小型水库</w:t>
      </w:r>
      <w:r>
        <w:rPr>
          <w:rFonts w:hint="eastAsia" w:ascii="Times New Roman" w:hAnsi="Times New Roman" w:eastAsia="方正仿宋简体" w:cs="Times New Roman"/>
          <w:sz w:val="32"/>
          <w:szCs w:val="32"/>
          <w:lang w:eastAsia="zh-CN"/>
        </w:rPr>
        <w:t>及</w:t>
      </w:r>
      <w:bookmarkStart w:id="0" w:name="_GoBack"/>
      <w:bookmarkEnd w:id="0"/>
      <w:r>
        <w:rPr>
          <w:rFonts w:hint="default" w:ascii="Times New Roman" w:hAnsi="Times New Roman" w:eastAsia="方正仿宋简体" w:cs="Times New Roman"/>
          <w:sz w:val="32"/>
          <w:szCs w:val="32"/>
        </w:rPr>
        <w:t>坝塘），比上年提高</w:t>
      </w:r>
      <w:r>
        <w:rPr>
          <w:rFonts w:hint="default" w:ascii="Times New Roman" w:hAnsi="Times New Roman" w:eastAsia="方正仿宋简体" w:cs="Times New Roman"/>
          <w:sz w:val="32"/>
          <w:szCs w:val="32"/>
          <w:lang w:val="en-US" w:eastAsia="zh-CN"/>
        </w:rPr>
        <w:t>4.2</w:t>
      </w:r>
      <w:r>
        <w:rPr>
          <w:rFonts w:hint="default" w:ascii="Times New Roman" w:hAnsi="Times New Roman" w:eastAsia="方正仿宋简体" w:cs="Times New Roman"/>
          <w:sz w:val="32"/>
          <w:szCs w:val="32"/>
        </w:rPr>
        <w:t>%。全年新增水土流失治理面积</w:t>
      </w:r>
      <w:r>
        <w:rPr>
          <w:rFonts w:hint="default" w:ascii="Times New Roman" w:hAnsi="Times New Roman" w:eastAsia="方正仿宋简体" w:cs="Times New Roman"/>
          <w:sz w:val="32"/>
          <w:szCs w:val="32"/>
          <w:lang w:val="en-US" w:eastAsia="zh-CN"/>
        </w:rPr>
        <w:t>5577.89</w:t>
      </w:r>
      <w:r>
        <w:rPr>
          <w:rFonts w:hint="default" w:ascii="Times New Roman" w:hAnsi="Times New Roman" w:eastAsia="方正仿宋简体" w:cs="Times New Roman"/>
          <w:sz w:val="32"/>
          <w:szCs w:val="32"/>
        </w:rPr>
        <w:t>平方公里。</w:t>
      </w:r>
    </w:p>
    <w:p>
      <w:pPr>
        <w:keepNext w:val="0"/>
        <w:keepLines w:val="0"/>
        <w:pageBreakBefore w:val="0"/>
        <w:kinsoku/>
        <w:wordWrap/>
        <w:overflowPunct w:val="0"/>
        <w:topLinePunct w:val="0"/>
        <w:autoSpaceDE/>
        <w:autoSpaceDN/>
        <w:bidi w:val="0"/>
        <w:adjustRightInd/>
        <w:spacing w:line="560" w:lineRule="exact"/>
        <w:ind w:firstLine="64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eastAsia="zh-CN"/>
        </w:rPr>
        <w:t>全年全省完成人工造林面积</w:t>
      </w:r>
      <w:r>
        <w:rPr>
          <w:rFonts w:hint="eastAsia" w:ascii="Times New Roman" w:hAnsi="Times New Roman" w:eastAsia="方正仿宋简体" w:cs="Times New Roman"/>
          <w:sz w:val="32"/>
          <w:szCs w:val="32"/>
          <w:lang w:val="en-US" w:eastAsia="zh-CN"/>
        </w:rPr>
        <w:t>111556公顷；当年新封山育林93071公顷，其中，无林地和疏林地封山育林35237公顷，有林地和灌木林地新封山育林57304公顷；退化林修复面积33813公顷；人工更新面积2326公顷；森林抚育面积97187公顷。</w:t>
      </w:r>
    </w:p>
    <w:p>
      <w:pPr>
        <w:keepNext w:val="0"/>
        <w:keepLines w:val="0"/>
        <w:pageBreakBefore w:val="0"/>
        <w:kinsoku/>
        <w:wordWrap/>
        <w:overflowPunct w:val="0"/>
        <w:topLinePunct w:val="0"/>
        <w:autoSpaceDE/>
        <w:autoSpaceDN/>
        <w:bidi w:val="0"/>
        <w:adjustRightInd/>
        <w:spacing w:line="56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林业重点工程营造林完成情况：人工造林</w:t>
      </w:r>
      <w:r>
        <w:rPr>
          <w:rFonts w:hint="default" w:ascii="Times New Roman" w:hAnsi="Times New Roman" w:eastAsia="方正仿宋简体" w:cs="Times New Roman"/>
          <w:sz w:val="32"/>
          <w:szCs w:val="32"/>
          <w:lang w:val="en-US" w:eastAsia="zh-CN"/>
        </w:rPr>
        <w:t>64014</w:t>
      </w:r>
      <w:r>
        <w:rPr>
          <w:rFonts w:hint="default" w:ascii="Times New Roman" w:hAnsi="Times New Roman" w:eastAsia="方正仿宋简体" w:cs="Times New Roman"/>
          <w:sz w:val="32"/>
          <w:szCs w:val="32"/>
        </w:rPr>
        <w:t>公顷；无林地和疏林地新封山育林</w:t>
      </w:r>
      <w:r>
        <w:rPr>
          <w:rFonts w:hint="default" w:ascii="Times New Roman" w:hAnsi="Times New Roman" w:eastAsia="方正仿宋简体" w:cs="Times New Roman"/>
          <w:sz w:val="32"/>
          <w:szCs w:val="32"/>
          <w:lang w:val="en-US" w:eastAsia="zh-CN"/>
        </w:rPr>
        <w:t>28762</w:t>
      </w:r>
      <w:r>
        <w:rPr>
          <w:rFonts w:hint="default" w:ascii="Times New Roman" w:hAnsi="Times New Roman" w:eastAsia="方正仿宋简体" w:cs="Times New Roman"/>
          <w:sz w:val="32"/>
          <w:szCs w:val="32"/>
        </w:rPr>
        <w:t>公顷；退化林修复面积</w:t>
      </w:r>
      <w:r>
        <w:rPr>
          <w:rFonts w:hint="default" w:ascii="Times New Roman" w:hAnsi="Times New Roman" w:eastAsia="方正仿宋简体" w:cs="Times New Roman"/>
          <w:sz w:val="32"/>
          <w:szCs w:val="32"/>
          <w:lang w:val="en-US" w:eastAsia="zh-CN"/>
        </w:rPr>
        <w:t>14833</w:t>
      </w:r>
      <w:r>
        <w:rPr>
          <w:rFonts w:hint="default" w:ascii="Times New Roman" w:hAnsi="Times New Roman" w:eastAsia="方正仿宋简体" w:cs="Times New Roman"/>
          <w:sz w:val="32"/>
          <w:szCs w:val="32"/>
        </w:rPr>
        <w:t>公顷；森林抚育</w:t>
      </w:r>
      <w:r>
        <w:rPr>
          <w:rFonts w:hint="default" w:ascii="Times New Roman" w:hAnsi="Times New Roman" w:eastAsia="方正仿宋简体" w:cs="Times New Roman"/>
          <w:sz w:val="32"/>
          <w:szCs w:val="32"/>
          <w:lang w:val="en-US" w:eastAsia="zh-CN"/>
        </w:rPr>
        <w:t>27129</w:t>
      </w:r>
      <w:r>
        <w:rPr>
          <w:rFonts w:hint="default" w:ascii="Times New Roman" w:hAnsi="Times New Roman" w:eastAsia="方正仿宋简体" w:cs="Times New Roman"/>
          <w:sz w:val="32"/>
          <w:szCs w:val="32"/>
        </w:rPr>
        <w:t>公顷。</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年末城市污水处理厂日处理能力达到</w:t>
      </w:r>
      <w:r>
        <w:rPr>
          <w:rFonts w:hint="eastAsia" w:ascii="Times New Roman" w:hAnsi="Times New Roman" w:eastAsia="方正仿宋简体" w:cs="Times New Roman"/>
          <w:color w:val="auto"/>
          <w:sz w:val="32"/>
          <w:szCs w:val="32"/>
          <w:lang w:val="en-US" w:eastAsia="zh-CN"/>
        </w:rPr>
        <w:t>454.89</w:t>
      </w:r>
      <w:r>
        <w:rPr>
          <w:rFonts w:hint="default" w:ascii="Times New Roman" w:hAnsi="Times New Roman" w:eastAsia="方正仿宋简体" w:cs="Times New Roman"/>
          <w:color w:val="auto"/>
          <w:sz w:val="32"/>
          <w:szCs w:val="32"/>
        </w:rPr>
        <w:t>万立方米，比上年末</w:t>
      </w:r>
      <w:r>
        <w:rPr>
          <w:rFonts w:hint="eastAsia" w:ascii="Times New Roman" w:hAnsi="Times New Roman" w:eastAsia="方正仿宋简体" w:cs="Times New Roman"/>
          <w:color w:val="auto"/>
          <w:sz w:val="32"/>
          <w:szCs w:val="32"/>
          <w:lang w:eastAsia="zh-CN"/>
        </w:rPr>
        <w:t>增长</w:t>
      </w:r>
      <w:r>
        <w:rPr>
          <w:rFonts w:hint="eastAsia" w:ascii="Times New Roman" w:hAnsi="Times New Roman" w:eastAsia="方正仿宋简体" w:cs="Times New Roman"/>
          <w:color w:val="auto"/>
          <w:sz w:val="32"/>
          <w:szCs w:val="32"/>
          <w:lang w:val="en-US" w:eastAsia="zh-CN"/>
        </w:rPr>
        <w:t>8.1</w:t>
      </w:r>
      <w:r>
        <w:rPr>
          <w:rFonts w:hint="default" w:ascii="Times New Roman" w:hAnsi="Times New Roman" w:eastAsia="方正仿宋简体" w:cs="Times New Roman"/>
          <w:color w:val="auto"/>
          <w:sz w:val="32"/>
          <w:szCs w:val="32"/>
        </w:rPr>
        <w:t>%，城市污水处理率达到</w:t>
      </w:r>
      <w:r>
        <w:rPr>
          <w:rFonts w:hint="eastAsia" w:ascii="Times New Roman" w:hAnsi="Times New Roman" w:eastAsia="方正仿宋简体" w:cs="Times New Roman"/>
          <w:color w:val="auto"/>
          <w:sz w:val="32"/>
          <w:szCs w:val="32"/>
          <w:lang w:val="en-US" w:eastAsia="zh-CN"/>
        </w:rPr>
        <w:t>95.9</w:t>
      </w:r>
      <w:r>
        <w:rPr>
          <w:rFonts w:hint="default" w:ascii="Times New Roman" w:hAnsi="Times New Roman" w:eastAsia="方正仿宋简体" w:cs="Times New Roman"/>
          <w:color w:val="auto"/>
          <w:sz w:val="32"/>
          <w:szCs w:val="32"/>
        </w:rPr>
        <w:t>%。全省城市建成区绿地率达到</w:t>
      </w:r>
      <w:r>
        <w:rPr>
          <w:rFonts w:hint="eastAsia" w:ascii="Times New Roman" w:hAnsi="Times New Roman" w:eastAsia="方正仿宋简体" w:cs="Times New Roman"/>
          <w:color w:val="auto"/>
          <w:sz w:val="32"/>
          <w:szCs w:val="32"/>
          <w:lang w:val="en-US" w:eastAsia="zh-CN"/>
        </w:rPr>
        <w:t>36.4</w:t>
      </w:r>
      <w:r>
        <w:rPr>
          <w:rFonts w:hint="default" w:ascii="Times New Roman" w:hAnsi="Times New Roman" w:eastAsia="方正仿宋简体" w:cs="Times New Roman"/>
          <w:color w:val="auto"/>
          <w:sz w:val="32"/>
          <w:szCs w:val="32"/>
        </w:rPr>
        <w:t>%，</w:t>
      </w:r>
      <w:r>
        <w:rPr>
          <w:rFonts w:hint="eastAsia" w:ascii="Times New Roman" w:hAnsi="Times New Roman" w:eastAsia="方正仿宋简体" w:cs="Times New Roman"/>
          <w:color w:val="auto"/>
          <w:sz w:val="32"/>
          <w:szCs w:val="32"/>
          <w:lang w:eastAsia="zh-CN"/>
        </w:rPr>
        <w:t>比上年提高</w:t>
      </w:r>
      <w:r>
        <w:rPr>
          <w:rFonts w:hint="eastAsia" w:ascii="Times New Roman" w:hAnsi="Times New Roman" w:eastAsia="方正仿宋简体" w:cs="Times New Roman"/>
          <w:color w:val="auto"/>
          <w:sz w:val="32"/>
          <w:szCs w:val="32"/>
          <w:lang w:val="en-US" w:eastAsia="zh-CN"/>
        </w:rPr>
        <w:t>1.8</w:t>
      </w:r>
      <w:r>
        <w:rPr>
          <w:rFonts w:hint="default" w:ascii="Times New Roman" w:hAnsi="Times New Roman" w:eastAsia="方正仿宋简体" w:cs="Times New Roman"/>
          <w:color w:val="auto"/>
          <w:sz w:val="32"/>
          <w:szCs w:val="32"/>
        </w:rPr>
        <w:t>个百分点。</w:t>
      </w:r>
    </w:p>
    <w:p>
      <w:pPr>
        <w:pStyle w:val="8"/>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方正仿宋简体" w:cs="Times New Roman"/>
          <w:kern w:val="2"/>
          <w:sz w:val="32"/>
          <w:szCs w:val="32"/>
          <w:lang w:val="en-US" w:eastAsia="zh-CN" w:bidi="ar-SA"/>
        </w:rPr>
        <w:t>全年生产安全事故死亡人数1563人，比上年下降2.5%。亿元GDP生产安全事故死亡人数0.057人，下降12.3%；工矿商贸企业（不含煤矿）生产安全事故死亡人数413人，</w:t>
      </w:r>
      <w:r>
        <w:rPr>
          <w:rFonts w:hint="eastAsia" w:ascii="Times New Roman" w:hAnsi="Times New Roman" w:eastAsia="方正仿宋简体" w:cs="Times New Roman"/>
          <w:kern w:val="2"/>
          <w:sz w:val="32"/>
          <w:szCs w:val="32"/>
          <w:lang w:val="en-US" w:eastAsia="zh-CN" w:bidi="ar-SA"/>
        </w:rPr>
        <w:t>增长</w:t>
      </w:r>
      <w:r>
        <w:rPr>
          <w:rFonts w:hint="default" w:ascii="Times New Roman" w:hAnsi="Times New Roman" w:eastAsia="方正仿宋简体" w:cs="Times New Roman"/>
          <w:kern w:val="2"/>
          <w:sz w:val="32"/>
          <w:szCs w:val="32"/>
          <w:lang w:val="en-US" w:eastAsia="zh-CN" w:bidi="ar-SA"/>
        </w:rPr>
        <w:t>16.3%；煤矿百万吨死亡率为0.103（按统计原煤产量计算）；全年道路运输事故1032起，造成1075人死亡，488人受伤，直接财产损失6775.59万元。</w:t>
      </w:r>
    </w:p>
    <w:p>
      <w:pPr>
        <w:keepNext w:val="0"/>
        <w:keepLines w:val="0"/>
        <w:pageBreakBefore w:val="0"/>
        <w:kinsoku/>
        <w:wordWrap/>
        <w:overflowPunct w:val="0"/>
        <w:topLinePunct w:val="0"/>
        <w:autoSpaceDE/>
        <w:autoSpaceDN/>
        <w:bidi w:val="0"/>
        <w:adjustRightInd/>
        <w:spacing w:before="156" w:beforeLines="50" w:after="156" w:afterLines="50" w:line="56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十一、</w:t>
      </w:r>
      <w:r>
        <w:rPr>
          <w:rFonts w:hint="default" w:ascii="Times New Roman" w:hAnsi="Times New Roman" w:eastAsia="黑体" w:cs="Times New Roman"/>
          <w:bCs/>
          <w:sz w:val="32"/>
          <w:szCs w:val="32"/>
          <w:lang w:eastAsia="zh-CN"/>
        </w:rPr>
        <w:t>人口、</w:t>
      </w:r>
      <w:r>
        <w:rPr>
          <w:rFonts w:hint="default" w:ascii="Times New Roman" w:hAnsi="Times New Roman" w:eastAsia="黑体" w:cs="Times New Roman"/>
          <w:bCs/>
          <w:sz w:val="32"/>
          <w:szCs w:val="32"/>
        </w:rPr>
        <w:t>人民生活</w:t>
      </w:r>
      <w:r>
        <w:rPr>
          <w:rFonts w:hint="eastAsia" w:ascii="Times New Roman" w:hAnsi="Times New Roman" w:eastAsia="黑体" w:cs="Times New Roman"/>
          <w:bCs/>
          <w:sz w:val="32"/>
          <w:szCs w:val="32"/>
          <w:lang w:eastAsia="zh-CN"/>
        </w:rPr>
        <w:t>和</w:t>
      </w:r>
      <w:r>
        <w:rPr>
          <w:rFonts w:hint="default" w:ascii="Times New Roman" w:hAnsi="Times New Roman" w:eastAsia="黑体" w:cs="Times New Roman"/>
          <w:bCs/>
          <w:sz w:val="32"/>
          <w:szCs w:val="32"/>
        </w:rPr>
        <w:t>社会保障</w:t>
      </w:r>
    </w:p>
    <w:p>
      <w:pPr>
        <w:keepNext w:val="0"/>
        <w:keepLines w:val="0"/>
        <w:pageBreakBefore w:val="0"/>
        <w:kinsoku/>
        <w:wordWrap/>
        <w:overflowPunct w:val="0"/>
        <w:topLinePunct w:val="0"/>
        <w:autoSpaceDE/>
        <w:autoSpaceDN/>
        <w:bidi w:val="0"/>
        <w:adjustRightInd/>
        <w:spacing w:after="156" w:afterLines="5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年末全省常住人口4690万人。全年出生人口44万人，出生率为9.35‰；死亡人口38万人，死亡率为8.12‰；自然增长率为1.23‰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年末全省城镇人口2394.2万人，乡村人口2295.8万人，全省城镇化率51.05%。</w:t>
      </w:r>
    </w:p>
    <w:p>
      <w:pPr>
        <w:keepNext w:val="0"/>
        <w:keepLines w:val="0"/>
        <w:pageBreakBefore w:val="0"/>
        <w:kinsoku/>
        <w:wordWrap/>
        <w:overflowPunct w:val="0"/>
        <w:topLinePunct w:val="0"/>
        <w:autoSpaceDE/>
        <w:autoSpaceDN/>
        <w:bidi w:val="0"/>
        <w:adjustRightInd/>
        <w:spacing w:line="56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bCs/>
          <w:color w:val="000000"/>
          <w:sz w:val="28"/>
          <w:szCs w:val="28"/>
        </w:rPr>
        <w:t xml:space="preserve">表8  </w:t>
      </w:r>
      <w:r>
        <w:rPr>
          <w:rFonts w:hint="default" w:ascii="Times New Roman" w:hAnsi="Times New Roman" w:eastAsia="黑体" w:cs="Times New Roman"/>
          <w:bCs/>
          <w:sz w:val="28"/>
          <w:szCs w:val="28"/>
        </w:rPr>
        <w:t>2021年云南人口数及构成</w:t>
      </w:r>
      <w:r>
        <w:rPr>
          <w:rStyle w:val="15"/>
          <w:rFonts w:hint="default" w:ascii="Times New Roman" w:hAnsi="Times New Roman" w:eastAsia="黑体" w:cs="Times New Roman"/>
          <w:bCs/>
          <w:sz w:val="28"/>
          <w:szCs w:val="28"/>
        </w:rPr>
        <w:t>[</w:t>
      </w:r>
      <w:r>
        <w:rPr>
          <w:rStyle w:val="15"/>
          <w:rFonts w:hint="default" w:ascii="Times New Roman" w:hAnsi="Times New Roman" w:eastAsia="黑体" w:cs="Times New Roman"/>
          <w:bCs/>
          <w:sz w:val="28"/>
          <w:szCs w:val="28"/>
        </w:rPr>
        <w:endnoteReference w:id="16"/>
      </w:r>
      <w:r>
        <w:rPr>
          <w:rStyle w:val="15"/>
          <w:rFonts w:hint="default" w:ascii="Times New Roman" w:hAnsi="Times New Roman" w:eastAsia="黑体" w:cs="Times New Roman"/>
          <w:bCs/>
          <w:sz w:val="28"/>
          <w:szCs w:val="28"/>
        </w:rPr>
        <w:t>]</w:t>
      </w:r>
    </w:p>
    <w:tbl>
      <w:tblPr>
        <w:tblStyle w:val="13"/>
        <w:tblW w:w="7943" w:type="dxa"/>
        <w:jc w:val="center"/>
        <w:tblLayout w:type="fixed"/>
        <w:tblCellMar>
          <w:top w:w="15" w:type="dxa"/>
          <w:left w:w="15" w:type="dxa"/>
          <w:bottom w:w="15" w:type="dxa"/>
          <w:right w:w="15" w:type="dxa"/>
        </w:tblCellMar>
      </w:tblPr>
      <w:tblGrid>
        <w:gridCol w:w="3828"/>
        <w:gridCol w:w="2126"/>
        <w:gridCol w:w="1989"/>
      </w:tblGrid>
      <w:tr>
        <w:tblPrEx>
          <w:tblCellMar>
            <w:top w:w="15" w:type="dxa"/>
            <w:left w:w="15" w:type="dxa"/>
            <w:bottom w:w="15" w:type="dxa"/>
            <w:right w:w="15" w:type="dxa"/>
          </w:tblCellMar>
        </w:tblPrEx>
        <w:trPr>
          <w:trHeight w:val="660" w:hRule="atLeast"/>
          <w:jc w:val="center"/>
        </w:trPr>
        <w:tc>
          <w:tcPr>
            <w:tcW w:w="3828" w:type="dxa"/>
            <w:tcBorders>
              <w:top w:val="single" w:color="000000" w:sz="12"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 xml:space="preserve"> 指  标</w:t>
            </w:r>
          </w:p>
        </w:tc>
        <w:tc>
          <w:tcPr>
            <w:tcW w:w="2126" w:type="dxa"/>
            <w:tcBorders>
              <w:top w:val="single" w:color="000000" w:sz="12"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年末数（万人）</w:t>
            </w:r>
          </w:p>
        </w:tc>
        <w:tc>
          <w:tcPr>
            <w:tcW w:w="1989" w:type="dxa"/>
            <w:tcBorders>
              <w:top w:val="single" w:color="000000" w:sz="12" w:space="0"/>
              <w:bottom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比  重（%）</w:t>
            </w:r>
          </w:p>
        </w:tc>
      </w:tr>
      <w:tr>
        <w:tblPrEx>
          <w:tblCellMar>
            <w:top w:w="15" w:type="dxa"/>
            <w:left w:w="15" w:type="dxa"/>
            <w:bottom w:w="15" w:type="dxa"/>
            <w:right w:w="15" w:type="dxa"/>
          </w:tblCellMar>
        </w:tblPrEx>
        <w:trPr>
          <w:trHeight w:val="397" w:hRule="atLeast"/>
          <w:jc w:val="center"/>
        </w:trPr>
        <w:tc>
          <w:tcPr>
            <w:tcW w:w="3828"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全省总人口</w:t>
            </w:r>
          </w:p>
        </w:tc>
        <w:tc>
          <w:tcPr>
            <w:tcW w:w="2126"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center"/>
              <w:rPr>
                <w:rFonts w:hint="default" w:ascii="Times New Roman" w:hAnsi="Times New Roman" w:eastAsia="宋体" w:cs="Times New Roman"/>
                <w:b/>
                <w:bCs/>
                <w:color w:val="000000"/>
                <w:sz w:val="22"/>
                <w:lang w:val="en-US" w:eastAsia="zh-CN"/>
              </w:rPr>
            </w:pPr>
            <w:r>
              <w:rPr>
                <w:rFonts w:hint="default" w:ascii="Times New Roman" w:hAnsi="Times New Roman" w:cs="Times New Roman"/>
                <w:b/>
                <w:bCs/>
                <w:color w:val="000000"/>
                <w:sz w:val="22"/>
              </w:rPr>
              <w:t>4690</w:t>
            </w:r>
          </w:p>
        </w:tc>
        <w:tc>
          <w:tcPr>
            <w:tcW w:w="1989"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sz w:val="22"/>
              </w:rPr>
              <w:t>100.00</w:t>
            </w:r>
          </w:p>
        </w:tc>
      </w:tr>
      <w:tr>
        <w:tblPrEx>
          <w:tblCellMar>
            <w:top w:w="15" w:type="dxa"/>
            <w:left w:w="15" w:type="dxa"/>
            <w:bottom w:w="15" w:type="dxa"/>
            <w:right w:w="15" w:type="dxa"/>
          </w:tblCellMar>
        </w:tblPrEx>
        <w:trPr>
          <w:trHeight w:val="397" w:hRule="atLeast"/>
          <w:jc w:val="center"/>
        </w:trPr>
        <w:tc>
          <w:tcPr>
            <w:tcW w:w="3828"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440" w:firstLineChars="2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其中：城镇</w:t>
            </w:r>
          </w:p>
        </w:tc>
        <w:tc>
          <w:tcPr>
            <w:tcW w:w="2126"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sz w:val="22"/>
              </w:rPr>
              <w:t>2394.2</w:t>
            </w:r>
          </w:p>
        </w:tc>
        <w:tc>
          <w:tcPr>
            <w:tcW w:w="1989"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sz w:val="22"/>
              </w:rPr>
              <w:t>51.05</w:t>
            </w:r>
          </w:p>
        </w:tc>
      </w:tr>
      <w:tr>
        <w:tblPrEx>
          <w:tblCellMar>
            <w:top w:w="15" w:type="dxa"/>
            <w:left w:w="15" w:type="dxa"/>
            <w:bottom w:w="15" w:type="dxa"/>
            <w:right w:w="15" w:type="dxa"/>
          </w:tblCellMar>
        </w:tblPrEx>
        <w:trPr>
          <w:trHeight w:val="397" w:hRule="atLeast"/>
          <w:jc w:val="center"/>
        </w:trPr>
        <w:tc>
          <w:tcPr>
            <w:tcW w:w="3828"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1100" w:firstLineChars="5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乡村</w:t>
            </w:r>
          </w:p>
        </w:tc>
        <w:tc>
          <w:tcPr>
            <w:tcW w:w="2126"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sz w:val="22"/>
              </w:rPr>
              <w:t>2295.8</w:t>
            </w:r>
          </w:p>
        </w:tc>
        <w:tc>
          <w:tcPr>
            <w:tcW w:w="1989"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sz w:val="22"/>
              </w:rPr>
              <w:t>48.95</w:t>
            </w:r>
          </w:p>
        </w:tc>
      </w:tr>
      <w:tr>
        <w:tblPrEx>
          <w:tblCellMar>
            <w:top w:w="15" w:type="dxa"/>
            <w:left w:w="15" w:type="dxa"/>
            <w:bottom w:w="15" w:type="dxa"/>
            <w:right w:w="15" w:type="dxa"/>
          </w:tblCellMar>
        </w:tblPrEx>
        <w:trPr>
          <w:trHeight w:val="397" w:hRule="atLeast"/>
          <w:jc w:val="center"/>
        </w:trPr>
        <w:tc>
          <w:tcPr>
            <w:tcW w:w="3828"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440" w:firstLineChars="2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其中：男性</w:t>
            </w:r>
          </w:p>
        </w:tc>
        <w:tc>
          <w:tcPr>
            <w:tcW w:w="2126"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sz w:val="22"/>
              </w:rPr>
              <w:t>2417</w:t>
            </w:r>
          </w:p>
        </w:tc>
        <w:tc>
          <w:tcPr>
            <w:tcW w:w="1989"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sz w:val="22"/>
              </w:rPr>
              <w:t>51.54</w:t>
            </w:r>
          </w:p>
        </w:tc>
      </w:tr>
      <w:tr>
        <w:tblPrEx>
          <w:tblCellMar>
            <w:top w:w="15" w:type="dxa"/>
            <w:left w:w="15" w:type="dxa"/>
            <w:bottom w:w="15" w:type="dxa"/>
            <w:right w:w="15" w:type="dxa"/>
          </w:tblCellMar>
        </w:tblPrEx>
        <w:trPr>
          <w:trHeight w:val="397" w:hRule="atLeast"/>
          <w:jc w:val="center"/>
        </w:trPr>
        <w:tc>
          <w:tcPr>
            <w:tcW w:w="3828"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1100" w:firstLineChars="5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女性</w:t>
            </w:r>
          </w:p>
        </w:tc>
        <w:tc>
          <w:tcPr>
            <w:tcW w:w="2126"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sz w:val="22"/>
              </w:rPr>
              <w:t>2273</w:t>
            </w:r>
          </w:p>
        </w:tc>
        <w:tc>
          <w:tcPr>
            <w:tcW w:w="1989"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sz w:val="22"/>
              </w:rPr>
              <w:t>48.46</w:t>
            </w:r>
          </w:p>
        </w:tc>
      </w:tr>
      <w:tr>
        <w:tblPrEx>
          <w:tblCellMar>
            <w:top w:w="15" w:type="dxa"/>
            <w:left w:w="15" w:type="dxa"/>
            <w:bottom w:w="15" w:type="dxa"/>
            <w:right w:w="15" w:type="dxa"/>
          </w:tblCellMar>
        </w:tblPrEx>
        <w:trPr>
          <w:trHeight w:val="397" w:hRule="atLeast"/>
          <w:jc w:val="center"/>
        </w:trPr>
        <w:tc>
          <w:tcPr>
            <w:tcW w:w="3828"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440" w:firstLineChars="2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其中：0-15岁（含不满16周岁）</w:t>
            </w:r>
          </w:p>
        </w:tc>
        <w:tc>
          <w:tcPr>
            <w:tcW w:w="2126"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sz w:val="22"/>
              </w:rPr>
              <w:t>962</w:t>
            </w:r>
          </w:p>
        </w:tc>
        <w:tc>
          <w:tcPr>
            <w:tcW w:w="1989"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sz w:val="22"/>
              </w:rPr>
              <w:t>20.51</w:t>
            </w:r>
          </w:p>
        </w:tc>
      </w:tr>
      <w:tr>
        <w:tblPrEx>
          <w:tblCellMar>
            <w:top w:w="15" w:type="dxa"/>
            <w:left w:w="15" w:type="dxa"/>
            <w:bottom w:w="15" w:type="dxa"/>
            <w:right w:w="15" w:type="dxa"/>
          </w:tblCellMar>
        </w:tblPrEx>
        <w:trPr>
          <w:trHeight w:val="397" w:hRule="atLeast"/>
          <w:jc w:val="center"/>
        </w:trPr>
        <w:tc>
          <w:tcPr>
            <w:tcW w:w="3828"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1100" w:firstLineChars="5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16-59岁（含不满60周岁）</w:t>
            </w:r>
          </w:p>
        </w:tc>
        <w:tc>
          <w:tcPr>
            <w:tcW w:w="2126"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sz w:val="22"/>
              </w:rPr>
              <w:t>3017</w:t>
            </w:r>
          </w:p>
        </w:tc>
        <w:tc>
          <w:tcPr>
            <w:tcW w:w="1989"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sz w:val="22"/>
              </w:rPr>
              <w:t>64.33</w:t>
            </w:r>
          </w:p>
        </w:tc>
      </w:tr>
      <w:tr>
        <w:tblPrEx>
          <w:tblCellMar>
            <w:top w:w="15" w:type="dxa"/>
            <w:left w:w="15" w:type="dxa"/>
            <w:bottom w:w="15" w:type="dxa"/>
            <w:right w:w="15" w:type="dxa"/>
          </w:tblCellMar>
        </w:tblPrEx>
        <w:trPr>
          <w:trHeight w:val="397" w:hRule="atLeast"/>
          <w:jc w:val="center"/>
        </w:trPr>
        <w:tc>
          <w:tcPr>
            <w:tcW w:w="3828" w:type="dxa"/>
            <w:tcBorders>
              <w:bottom w:val="single" w:color="000000" w:sz="12" w:space="0"/>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1100" w:firstLineChars="500"/>
              <w:jc w:val="left"/>
              <w:textAlignment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xml:space="preserve">60岁及以上    </w:t>
            </w:r>
          </w:p>
          <w:p>
            <w:pPr>
              <w:keepNext w:val="0"/>
              <w:keepLines w:val="0"/>
              <w:pageBreakBefore w:val="0"/>
              <w:widowControl w:val="0"/>
              <w:kinsoku/>
              <w:wordWrap/>
              <w:overflowPunct w:val="0"/>
              <w:topLinePunct w:val="0"/>
              <w:autoSpaceDE/>
              <w:autoSpaceDN/>
              <w:bidi w:val="0"/>
              <w:adjustRightInd/>
              <w:snapToGrid/>
              <w:spacing w:line="360" w:lineRule="exact"/>
              <w:ind w:firstLine="990" w:firstLineChars="450"/>
              <w:jc w:val="left"/>
              <w:textAlignment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xml:space="preserve">    其中：65岁及以上        </w:t>
            </w:r>
          </w:p>
        </w:tc>
        <w:tc>
          <w:tcPr>
            <w:tcW w:w="2126" w:type="dxa"/>
            <w:tcBorders>
              <w:bottom w:val="single" w:color="000000" w:sz="12" w:space="0"/>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sz w:val="22"/>
              </w:rPr>
              <w:t>711</w:t>
            </w:r>
          </w:p>
          <w:p>
            <w:pPr>
              <w:pStyle w:val="2"/>
              <w:keepNext w:val="0"/>
              <w:keepLines w:val="0"/>
              <w:pageBreakBefore w:val="0"/>
              <w:widowControl w:val="0"/>
              <w:kinsoku/>
              <w:wordWrap/>
              <w:overflowPunct w:val="0"/>
              <w:topLinePunct w:val="0"/>
              <w:autoSpaceDE/>
              <w:autoSpaceDN/>
              <w:bidi w:val="0"/>
              <w:adjustRightInd/>
              <w:snapToGrid/>
              <w:spacing w:line="360" w:lineRule="exact"/>
              <w:ind w:left="840" w:hanging="420"/>
              <w:rPr>
                <w:rFonts w:hint="default" w:ascii="Times New Roman" w:hAnsi="Times New Roman" w:cs="Times New Roman"/>
              </w:rPr>
            </w:pPr>
            <w:r>
              <w:rPr>
                <w:rFonts w:hint="default" w:ascii="Times New Roman" w:hAnsi="Times New Roman" w:cs="Times New Roman"/>
              </w:rPr>
              <w:t xml:space="preserve">      529 </w:t>
            </w:r>
          </w:p>
        </w:tc>
        <w:tc>
          <w:tcPr>
            <w:tcW w:w="1989" w:type="dxa"/>
            <w:tcBorders>
              <w:bottom w:val="single" w:color="000000" w:sz="12"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center"/>
              <w:rPr>
                <w:rFonts w:hint="default" w:ascii="Times New Roman" w:hAnsi="Times New Roman" w:cs="Times New Roman"/>
                <w:color w:val="000000"/>
                <w:sz w:val="22"/>
              </w:rPr>
            </w:pPr>
            <w:r>
              <w:rPr>
                <w:rFonts w:hint="default" w:ascii="Times New Roman" w:hAnsi="Times New Roman" w:cs="Times New Roman"/>
                <w:color w:val="000000"/>
                <w:sz w:val="22"/>
              </w:rPr>
              <w:t>15.16</w:t>
            </w:r>
          </w:p>
          <w:p>
            <w:pPr>
              <w:pStyle w:val="2"/>
              <w:keepNext w:val="0"/>
              <w:keepLines w:val="0"/>
              <w:pageBreakBefore w:val="0"/>
              <w:widowControl w:val="0"/>
              <w:kinsoku/>
              <w:wordWrap/>
              <w:overflowPunct w:val="0"/>
              <w:topLinePunct w:val="0"/>
              <w:autoSpaceDE/>
              <w:autoSpaceDN/>
              <w:bidi w:val="0"/>
              <w:adjustRightInd/>
              <w:snapToGrid/>
              <w:spacing w:line="360" w:lineRule="exact"/>
              <w:ind w:left="840" w:hanging="420"/>
              <w:rPr>
                <w:rFonts w:hint="default" w:ascii="Times New Roman" w:hAnsi="Times New Roman" w:cs="Times New Roman"/>
              </w:rPr>
            </w:pPr>
            <w:r>
              <w:rPr>
                <w:rFonts w:hint="default" w:ascii="Times New Roman" w:hAnsi="Times New Roman" w:cs="Times New Roman"/>
              </w:rPr>
              <w:t xml:space="preserve">   11.28 </w:t>
            </w:r>
          </w:p>
        </w:tc>
      </w:tr>
    </w:tbl>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000000"/>
          <w:sz w:val="32"/>
          <w:szCs w:val="32"/>
        </w:rPr>
        <w:t>全年</w:t>
      </w:r>
      <w:r>
        <w:rPr>
          <w:rFonts w:hint="eastAsia" w:ascii="Times New Roman" w:hAnsi="Times New Roman" w:eastAsia="仿宋_GB2312" w:cs="Times New Roman"/>
          <w:color w:val="000000"/>
          <w:sz w:val="32"/>
          <w:szCs w:val="32"/>
          <w:lang w:eastAsia="zh-CN"/>
        </w:rPr>
        <w:t>全省</w:t>
      </w:r>
      <w:r>
        <w:rPr>
          <w:rFonts w:hint="default" w:ascii="Times New Roman" w:hAnsi="Times New Roman" w:eastAsia="仿宋_GB2312" w:cs="Times New Roman"/>
          <w:color w:val="000000"/>
          <w:sz w:val="32"/>
          <w:szCs w:val="32"/>
        </w:rPr>
        <w:t>居民人均可支配收入</w:t>
      </w:r>
      <w:r>
        <w:rPr>
          <w:rStyle w:val="15"/>
          <w:rFonts w:hint="default" w:ascii="Times New Roman" w:hAnsi="Times New Roman" w:eastAsia="仿宋_GB2312" w:cs="Times New Roman"/>
          <w:color w:val="000000"/>
          <w:sz w:val="32"/>
          <w:szCs w:val="32"/>
        </w:rPr>
        <w:t>[</w:t>
      </w:r>
      <w:r>
        <w:rPr>
          <w:rStyle w:val="15"/>
          <w:rFonts w:hint="default" w:ascii="Times New Roman" w:hAnsi="Times New Roman" w:eastAsia="仿宋_GB2312" w:cs="Times New Roman"/>
          <w:color w:val="000000"/>
          <w:sz w:val="32"/>
          <w:szCs w:val="32"/>
        </w:rPr>
        <w:endnoteReference w:id="17"/>
      </w:r>
      <w:r>
        <w:rPr>
          <w:rStyle w:val="15"/>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25666</w:t>
      </w:r>
      <w:r>
        <w:rPr>
          <w:rFonts w:hint="default" w:ascii="Times New Roman" w:hAnsi="Times New Roman" w:eastAsia="仿宋_GB2312" w:cs="Times New Roman"/>
          <w:color w:val="000000"/>
          <w:sz w:val="32"/>
          <w:szCs w:val="32"/>
        </w:rPr>
        <w:t>元，</w:t>
      </w:r>
      <w:r>
        <w:rPr>
          <w:rFonts w:hint="default" w:ascii="Times New Roman" w:hAnsi="Times New Roman" w:eastAsia="方正仿宋简体" w:cs="Times New Roman"/>
          <w:sz w:val="32"/>
          <w:szCs w:val="32"/>
        </w:rPr>
        <w:t>比上年增长</w:t>
      </w:r>
      <w:r>
        <w:rPr>
          <w:rFonts w:hint="default" w:ascii="Times New Roman" w:hAnsi="Times New Roman" w:eastAsia="方正仿宋简体" w:cs="Times New Roman"/>
          <w:sz w:val="32"/>
          <w:szCs w:val="32"/>
          <w:lang w:val="en-US" w:eastAsia="zh-CN"/>
        </w:rPr>
        <w:t>10.2</w:t>
      </w:r>
      <w:r>
        <w:rPr>
          <w:rFonts w:hint="default" w:ascii="Times New Roman" w:hAnsi="Times New Roman" w:eastAsia="方正仿宋简体" w:cs="Times New Roman"/>
          <w:sz w:val="32"/>
          <w:szCs w:val="32"/>
        </w:rPr>
        <w:t>%。按常住地分，城镇常住居民人均可支配收入</w:t>
      </w:r>
      <w:r>
        <w:rPr>
          <w:rFonts w:hint="default" w:ascii="Times New Roman" w:hAnsi="Times New Roman" w:eastAsia="方正仿宋简体" w:cs="Times New Roman"/>
          <w:sz w:val="32"/>
          <w:szCs w:val="32"/>
          <w:lang w:val="en-US" w:eastAsia="zh-CN"/>
        </w:rPr>
        <w:t>40905</w:t>
      </w:r>
      <w:r>
        <w:rPr>
          <w:rFonts w:hint="default" w:ascii="Times New Roman" w:hAnsi="Times New Roman" w:eastAsia="方正仿宋简体" w:cs="Times New Roman"/>
          <w:sz w:val="32"/>
          <w:szCs w:val="32"/>
        </w:rPr>
        <w:t>元，增长</w:t>
      </w:r>
      <w:r>
        <w:rPr>
          <w:rFonts w:hint="default" w:ascii="Times New Roman" w:hAnsi="Times New Roman" w:eastAsia="方正仿宋简体" w:cs="Times New Roman"/>
          <w:sz w:val="32"/>
          <w:szCs w:val="32"/>
          <w:lang w:val="en-US" w:eastAsia="zh-CN"/>
        </w:rPr>
        <w:t>9.1</w:t>
      </w:r>
      <w:r>
        <w:rPr>
          <w:rFonts w:hint="default" w:ascii="Times New Roman" w:hAnsi="Times New Roman" w:eastAsia="方正仿宋简体" w:cs="Times New Roman"/>
          <w:sz w:val="32"/>
          <w:szCs w:val="32"/>
        </w:rPr>
        <w:t>%；农村常住居民人均可支配收入</w:t>
      </w:r>
      <w:r>
        <w:rPr>
          <w:rFonts w:hint="default" w:ascii="Times New Roman" w:hAnsi="Times New Roman" w:eastAsia="方正仿宋简体" w:cs="Times New Roman"/>
          <w:sz w:val="32"/>
          <w:szCs w:val="32"/>
          <w:lang w:val="en-US" w:eastAsia="zh-CN"/>
        </w:rPr>
        <w:t>14197</w:t>
      </w:r>
      <w:r>
        <w:rPr>
          <w:rFonts w:hint="default" w:ascii="Times New Roman" w:hAnsi="Times New Roman" w:eastAsia="方正仿宋简体" w:cs="Times New Roman"/>
          <w:sz w:val="32"/>
          <w:szCs w:val="32"/>
        </w:rPr>
        <w:t>元，增长</w:t>
      </w:r>
      <w:r>
        <w:rPr>
          <w:rFonts w:hint="default" w:ascii="Times New Roman" w:hAnsi="Times New Roman" w:eastAsia="方正仿宋简体" w:cs="Times New Roman"/>
          <w:sz w:val="32"/>
          <w:szCs w:val="32"/>
          <w:lang w:val="en-US" w:eastAsia="zh-CN"/>
        </w:rPr>
        <w:t>10.6</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color w:val="000000"/>
          <w:sz w:val="32"/>
          <w:szCs w:val="32"/>
          <w:highlight w:val="none"/>
        </w:rPr>
        <w:t>全年</w:t>
      </w:r>
      <w:r>
        <w:rPr>
          <w:rFonts w:hint="default" w:ascii="Times New Roman" w:hAnsi="Times New Roman" w:eastAsia="方正仿宋简体" w:cs="Times New Roman"/>
          <w:color w:val="auto"/>
          <w:sz w:val="32"/>
          <w:szCs w:val="32"/>
          <w:highlight w:val="none"/>
          <w:lang w:eastAsia="zh-CN"/>
        </w:rPr>
        <w:t>脱贫县</w:t>
      </w:r>
      <w:r>
        <w:rPr>
          <w:rStyle w:val="15"/>
          <w:rFonts w:hint="default" w:ascii="Times New Roman" w:hAnsi="Times New Roman" w:eastAsia="方正仿宋简体" w:cs="Times New Roman"/>
          <w:color w:val="000000"/>
          <w:sz w:val="32"/>
          <w:szCs w:val="32"/>
          <w:highlight w:val="none"/>
        </w:rPr>
        <w:t>[</w:t>
      </w:r>
      <w:r>
        <w:rPr>
          <w:rStyle w:val="15"/>
          <w:rFonts w:hint="default" w:ascii="Times New Roman" w:hAnsi="Times New Roman" w:eastAsia="方正仿宋简体" w:cs="Times New Roman"/>
          <w:color w:val="000000"/>
          <w:sz w:val="32"/>
          <w:szCs w:val="32"/>
          <w:highlight w:val="none"/>
        </w:rPr>
        <w:endnoteReference w:id="18"/>
      </w:r>
      <w:r>
        <w:rPr>
          <w:rStyle w:val="15"/>
          <w:rFonts w:hint="default" w:ascii="Times New Roman" w:hAnsi="Times New Roman" w:eastAsia="方正仿宋简体" w:cs="Times New Roman"/>
          <w:color w:val="000000"/>
          <w:sz w:val="32"/>
          <w:szCs w:val="32"/>
          <w:highlight w:val="none"/>
        </w:rPr>
        <w:t>]</w:t>
      </w:r>
      <w:r>
        <w:rPr>
          <w:rFonts w:hint="default" w:ascii="Times New Roman" w:hAnsi="Times New Roman" w:eastAsia="方正仿宋简体" w:cs="Times New Roman"/>
          <w:color w:val="000000"/>
          <w:sz w:val="32"/>
          <w:szCs w:val="32"/>
          <w:highlight w:val="none"/>
        </w:rPr>
        <w:t>农村居民人均可支配收入</w:t>
      </w:r>
      <w:r>
        <w:rPr>
          <w:rFonts w:hint="default" w:ascii="Times New Roman" w:hAnsi="Times New Roman" w:eastAsia="方正仿宋简体" w:cs="Times New Roman"/>
          <w:color w:val="000000"/>
          <w:sz w:val="32"/>
          <w:szCs w:val="32"/>
          <w:highlight w:val="none"/>
          <w:lang w:val="en-US" w:eastAsia="zh-CN"/>
        </w:rPr>
        <w:t>13027</w:t>
      </w:r>
      <w:r>
        <w:rPr>
          <w:rFonts w:hint="default" w:ascii="Times New Roman" w:hAnsi="Times New Roman" w:eastAsia="方正仿宋简体" w:cs="Times New Roman"/>
          <w:color w:val="000000"/>
          <w:sz w:val="32"/>
          <w:szCs w:val="32"/>
          <w:highlight w:val="none"/>
        </w:rPr>
        <w:t>元，增长</w:t>
      </w:r>
      <w:r>
        <w:rPr>
          <w:rFonts w:hint="default" w:ascii="Times New Roman" w:hAnsi="Times New Roman" w:eastAsia="方正仿宋简体" w:cs="Times New Roman"/>
          <w:color w:val="000000"/>
          <w:sz w:val="32"/>
          <w:szCs w:val="32"/>
          <w:highlight w:val="none"/>
          <w:lang w:val="en-US" w:eastAsia="zh-CN"/>
        </w:rPr>
        <w:t>11.0</w:t>
      </w:r>
      <w:r>
        <w:rPr>
          <w:rFonts w:hint="default" w:ascii="Times New Roman" w:hAnsi="Times New Roman" w:eastAsia="方正仿宋简体" w:cs="Times New Roman"/>
          <w:color w:val="000000"/>
          <w:sz w:val="32"/>
          <w:szCs w:val="32"/>
          <w:highlight w:val="none"/>
        </w:rPr>
        <w:t>%。</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仿宋简体" w:cs="Times New Roman"/>
          <w:sz w:val="32"/>
          <w:szCs w:val="32"/>
        </w:rPr>
      </w:pPr>
      <w:r>
        <w:rPr>
          <w:rFonts w:hint="eastAsia" w:ascii="Times New Roman" w:hAnsi="Times New Roman" w:eastAsia="仿宋_GB2312" w:cs="Times New Roman"/>
          <w:color w:val="000000"/>
          <w:sz w:val="32"/>
          <w:szCs w:val="32"/>
          <w:lang w:eastAsia="zh-CN"/>
        </w:rPr>
        <w:t>全年全省</w:t>
      </w:r>
      <w:r>
        <w:rPr>
          <w:rFonts w:hint="default" w:ascii="Times New Roman" w:hAnsi="Times New Roman" w:eastAsia="仿宋_GB2312" w:cs="Times New Roman"/>
          <w:color w:val="000000"/>
          <w:sz w:val="32"/>
          <w:szCs w:val="32"/>
        </w:rPr>
        <w:t>居民人均消费支出</w:t>
      </w:r>
      <w:r>
        <w:rPr>
          <w:rStyle w:val="15"/>
          <w:rFonts w:hint="default" w:ascii="Times New Roman" w:hAnsi="Times New Roman" w:eastAsia="仿宋_GB2312" w:cs="Times New Roman"/>
          <w:color w:val="000000"/>
          <w:sz w:val="32"/>
          <w:szCs w:val="32"/>
        </w:rPr>
        <w:t>[</w:t>
      </w:r>
      <w:r>
        <w:rPr>
          <w:rStyle w:val="15"/>
          <w:rFonts w:hint="default" w:ascii="Times New Roman" w:hAnsi="Times New Roman" w:eastAsia="仿宋_GB2312" w:cs="Times New Roman"/>
          <w:color w:val="000000"/>
          <w:sz w:val="32"/>
          <w:szCs w:val="32"/>
        </w:rPr>
        <w:endnoteReference w:id="19"/>
      </w:r>
      <w:r>
        <w:rPr>
          <w:rStyle w:val="15"/>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18851</w:t>
      </w:r>
      <w:r>
        <w:rPr>
          <w:rFonts w:hint="default" w:ascii="Times New Roman" w:hAnsi="Times New Roman" w:eastAsia="仿宋_GB2312" w:cs="Times New Roman"/>
          <w:color w:val="000000"/>
          <w:sz w:val="32"/>
          <w:szCs w:val="32"/>
        </w:rPr>
        <w:t>元，</w:t>
      </w:r>
      <w:r>
        <w:rPr>
          <w:rFonts w:hint="eastAsia" w:ascii="Times New Roman" w:hAnsi="Times New Roman" w:eastAsia="仿宋_GB2312" w:cs="Times New Roman"/>
          <w:color w:val="000000"/>
          <w:sz w:val="32"/>
          <w:szCs w:val="32"/>
          <w:lang w:eastAsia="zh-CN"/>
        </w:rPr>
        <w:t>比上年</w:t>
      </w:r>
      <w:r>
        <w:rPr>
          <w:rFonts w:hint="default" w:ascii="Times New Roman" w:hAnsi="Times New Roman" w:eastAsia="仿宋_GB2312" w:cs="Times New Roman"/>
          <w:color w:val="000000"/>
          <w:sz w:val="32"/>
          <w:szCs w:val="32"/>
        </w:rPr>
        <w:t>增长</w:t>
      </w:r>
      <w:r>
        <w:rPr>
          <w:rFonts w:hint="default" w:ascii="Times New Roman" w:hAnsi="Times New Roman" w:eastAsia="仿宋_GB2312" w:cs="Times New Roman"/>
          <w:color w:val="000000"/>
          <w:sz w:val="32"/>
          <w:szCs w:val="32"/>
          <w:lang w:val="en-US" w:eastAsia="zh-CN"/>
        </w:rPr>
        <w:t>12.3</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城镇常住居民人均消费支出</w:t>
      </w:r>
      <w:r>
        <w:rPr>
          <w:rFonts w:hint="default" w:ascii="Times New Roman" w:hAnsi="Times New Roman" w:eastAsia="仿宋_GB2312" w:cs="Times New Roman"/>
          <w:color w:val="000000"/>
          <w:sz w:val="32"/>
          <w:szCs w:val="32"/>
          <w:lang w:val="en-US" w:eastAsia="zh-CN"/>
        </w:rPr>
        <w:t>27441</w:t>
      </w:r>
      <w:r>
        <w:rPr>
          <w:rFonts w:hint="default" w:ascii="Times New Roman" w:hAnsi="Times New Roman" w:eastAsia="仿宋_GB2312" w:cs="Times New Roman"/>
          <w:color w:val="000000"/>
          <w:sz w:val="32"/>
          <w:szCs w:val="32"/>
        </w:rPr>
        <w:t>元，</w:t>
      </w:r>
      <w:r>
        <w:rPr>
          <w:rFonts w:hint="default" w:ascii="Times New Roman" w:hAnsi="Times New Roman" w:eastAsia="方正仿宋简体" w:cs="Times New Roman"/>
          <w:sz w:val="32"/>
          <w:szCs w:val="32"/>
        </w:rPr>
        <w:t>增长</w:t>
      </w:r>
      <w:r>
        <w:rPr>
          <w:rFonts w:hint="default" w:ascii="Times New Roman" w:hAnsi="Times New Roman" w:eastAsia="方正仿宋简体" w:cs="Times New Roman"/>
          <w:sz w:val="32"/>
          <w:szCs w:val="32"/>
          <w:lang w:val="en-US" w:eastAsia="zh-CN"/>
        </w:rPr>
        <w:t>11.7</w:t>
      </w:r>
      <w:r>
        <w:rPr>
          <w:rFonts w:hint="default" w:ascii="Times New Roman" w:hAnsi="Times New Roman" w:eastAsia="方正仿宋简体" w:cs="Times New Roman"/>
          <w:sz w:val="32"/>
          <w:szCs w:val="32"/>
        </w:rPr>
        <w:t>%；农村常住居民人均消费支出</w:t>
      </w:r>
      <w:r>
        <w:rPr>
          <w:rFonts w:hint="default" w:ascii="Times New Roman" w:hAnsi="Times New Roman" w:eastAsia="方正仿宋简体" w:cs="Times New Roman"/>
          <w:sz w:val="32"/>
          <w:szCs w:val="32"/>
          <w:lang w:val="en-US" w:eastAsia="zh-CN"/>
        </w:rPr>
        <w:t>12386</w:t>
      </w:r>
      <w:r>
        <w:rPr>
          <w:rFonts w:hint="default" w:ascii="Times New Roman" w:hAnsi="Times New Roman" w:eastAsia="方正仿宋简体" w:cs="Times New Roman"/>
          <w:sz w:val="32"/>
          <w:szCs w:val="32"/>
        </w:rPr>
        <w:t>元，增长</w:t>
      </w:r>
      <w:r>
        <w:rPr>
          <w:rFonts w:hint="default" w:ascii="Times New Roman" w:hAnsi="Times New Roman" w:eastAsia="方正仿宋简体" w:cs="Times New Roman"/>
          <w:sz w:val="32"/>
          <w:szCs w:val="32"/>
          <w:lang w:val="en-US" w:eastAsia="zh-CN"/>
        </w:rPr>
        <w:t>11.9</w:t>
      </w:r>
      <w:r>
        <w:rPr>
          <w:rFonts w:hint="default" w:ascii="Times New Roman" w:hAnsi="Times New Roman" w:eastAsia="方正仿宋简体" w:cs="Times New Roman"/>
          <w:sz w:val="32"/>
          <w:szCs w:val="32"/>
        </w:rPr>
        <w:t>%。</w:t>
      </w:r>
    </w:p>
    <w:p>
      <w:pPr>
        <w:pStyle w:val="2"/>
        <w:keepNext w:val="0"/>
        <w:keepLines w:val="0"/>
        <w:pageBreakBefore w:val="0"/>
        <w:kinsoku/>
        <w:wordWrap/>
        <w:overflowPunct w:val="0"/>
        <w:topLinePunct w:val="0"/>
        <w:autoSpaceDE/>
        <w:autoSpaceDN/>
        <w:bidi w:val="0"/>
        <w:adjustRightInd/>
        <w:spacing w:line="240" w:lineRule="auto"/>
        <w:ind w:left="0" w:leftChars="0" w:firstLine="0" w:firstLineChars="0"/>
        <w:jc w:val="center"/>
        <w:rPr>
          <w:rFonts w:hint="eastAsia" w:ascii="Times New Roman" w:hAnsi="Times New Roman" w:eastAsia="仿宋_GB2312" w:cs="Times New Roman"/>
          <w:sz w:val="30"/>
          <w:szCs w:val="30"/>
          <w:lang w:eastAsia="zh-CN"/>
        </w:rPr>
      </w:pPr>
      <w:r>
        <w:drawing>
          <wp:inline distT="0" distB="0" distL="114300" distR="114300">
            <wp:extent cx="4754880" cy="2867025"/>
            <wp:effectExtent l="0" t="0" r="762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8"/>
                    <a:stretch>
                      <a:fillRect/>
                    </a:stretch>
                  </pic:blipFill>
                  <pic:spPr>
                    <a:xfrm>
                      <a:off x="0" y="0"/>
                      <a:ext cx="4754880" cy="2867025"/>
                    </a:xfrm>
                    <a:prstGeom prst="rect">
                      <a:avLst/>
                    </a:prstGeom>
                    <a:noFill/>
                    <a:ln>
                      <a:noFill/>
                    </a:ln>
                  </pic:spPr>
                </pic:pic>
              </a:graphicData>
            </a:graphic>
          </wp:inline>
        </w:drawing>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年末全省参加城镇职工基本养老保险人数</w:t>
      </w:r>
      <w:r>
        <w:rPr>
          <w:rFonts w:hint="default" w:ascii="Times New Roman" w:hAnsi="Times New Roman" w:eastAsia="方正仿宋简体" w:cs="Times New Roman"/>
          <w:sz w:val="32"/>
          <w:szCs w:val="32"/>
          <w:lang w:val="en-US" w:eastAsia="zh-CN"/>
        </w:rPr>
        <w:t>739.35</w:t>
      </w:r>
      <w:r>
        <w:rPr>
          <w:rFonts w:hint="default" w:ascii="Times New Roman" w:hAnsi="Times New Roman" w:eastAsia="方正仿宋简体" w:cs="Times New Roman"/>
          <w:sz w:val="32"/>
          <w:szCs w:val="32"/>
        </w:rPr>
        <w:t>万人</w:t>
      </w:r>
      <w:r>
        <w:rPr>
          <w:rFonts w:hint="default" w:ascii="Times New Roman" w:hAnsi="Times New Roman" w:eastAsia="方正仿宋简体" w:cs="Times New Roman"/>
          <w:spacing w:val="-6"/>
          <w:sz w:val="32"/>
          <w:szCs w:val="32"/>
        </w:rPr>
        <w:t>。其中，参保职工</w:t>
      </w:r>
      <w:r>
        <w:rPr>
          <w:rFonts w:hint="default" w:ascii="Times New Roman" w:hAnsi="Times New Roman" w:eastAsia="方正仿宋简体" w:cs="Times New Roman"/>
          <w:spacing w:val="-6"/>
          <w:sz w:val="32"/>
          <w:szCs w:val="32"/>
          <w:lang w:val="en-US" w:eastAsia="zh-CN"/>
        </w:rPr>
        <w:t>550.54</w:t>
      </w:r>
      <w:r>
        <w:rPr>
          <w:rFonts w:hint="default" w:ascii="Times New Roman" w:hAnsi="Times New Roman" w:eastAsia="方正仿宋简体" w:cs="Times New Roman"/>
          <w:spacing w:val="-6"/>
          <w:sz w:val="32"/>
          <w:szCs w:val="32"/>
        </w:rPr>
        <w:t>万人，参保离退休人员</w:t>
      </w:r>
      <w:r>
        <w:rPr>
          <w:rFonts w:hint="default" w:ascii="Times New Roman" w:hAnsi="Times New Roman" w:eastAsia="方正仿宋简体" w:cs="Times New Roman"/>
          <w:spacing w:val="-6"/>
          <w:sz w:val="32"/>
          <w:szCs w:val="32"/>
          <w:lang w:val="en-US" w:eastAsia="zh-CN"/>
        </w:rPr>
        <w:t>188.81</w:t>
      </w:r>
      <w:r>
        <w:rPr>
          <w:rFonts w:hint="default" w:ascii="Times New Roman" w:hAnsi="Times New Roman" w:eastAsia="方正仿宋简体" w:cs="Times New Roman"/>
          <w:spacing w:val="-6"/>
          <w:sz w:val="32"/>
          <w:szCs w:val="32"/>
        </w:rPr>
        <w:t>万人。参加城乡基本养老保险人数</w:t>
      </w:r>
      <w:r>
        <w:rPr>
          <w:rFonts w:hint="default" w:ascii="Times New Roman" w:hAnsi="Times New Roman" w:eastAsia="方正仿宋简体" w:cs="Times New Roman"/>
          <w:spacing w:val="-6"/>
          <w:sz w:val="32"/>
          <w:szCs w:val="32"/>
          <w:lang w:val="en-US" w:eastAsia="zh-CN"/>
        </w:rPr>
        <w:t>2460.31</w:t>
      </w:r>
      <w:r>
        <w:rPr>
          <w:rFonts w:hint="default" w:ascii="Times New Roman" w:hAnsi="Times New Roman" w:eastAsia="方正仿宋简体" w:cs="Times New Roman"/>
          <w:spacing w:val="-6"/>
          <w:sz w:val="32"/>
          <w:szCs w:val="32"/>
        </w:rPr>
        <w:t>万人。</w:t>
      </w:r>
      <w:r>
        <w:rPr>
          <w:rFonts w:hint="default" w:ascii="Times New Roman" w:hAnsi="Times New Roman" w:eastAsia="方正仿宋简体" w:cs="Times New Roman"/>
          <w:color w:val="auto"/>
          <w:spacing w:val="-6"/>
          <w:sz w:val="32"/>
          <w:szCs w:val="32"/>
        </w:rPr>
        <w:t>参加城乡居民基本医疗保险人数</w:t>
      </w:r>
      <w:r>
        <w:rPr>
          <w:rFonts w:hint="eastAsia" w:ascii="Times New Roman" w:hAnsi="Times New Roman" w:eastAsia="方正仿宋简体" w:cs="Times New Roman"/>
          <w:color w:val="auto"/>
          <w:spacing w:val="-6"/>
          <w:sz w:val="32"/>
          <w:szCs w:val="32"/>
          <w:lang w:val="en-US" w:eastAsia="zh-CN"/>
        </w:rPr>
        <w:t>3952.63</w:t>
      </w:r>
      <w:r>
        <w:rPr>
          <w:rFonts w:hint="default" w:ascii="Times New Roman" w:hAnsi="Times New Roman" w:eastAsia="方正仿宋简体" w:cs="Times New Roman"/>
          <w:color w:val="auto"/>
          <w:spacing w:val="-6"/>
          <w:sz w:val="32"/>
          <w:szCs w:val="32"/>
        </w:rPr>
        <w:t>万人</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spacing w:val="-6"/>
          <w:sz w:val="32"/>
          <w:szCs w:val="32"/>
        </w:rPr>
        <w:t>全省参加失业保险人数</w:t>
      </w:r>
      <w:r>
        <w:rPr>
          <w:rFonts w:hint="default" w:ascii="Times New Roman" w:hAnsi="Times New Roman" w:eastAsia="方正仿宋简体" w:cs="Times New Roman"/>
          <w:spacing w:val="-6"/>
          <w:sz w:val="32"/>
          <w:szCs w:val="32"/>
          <w:lang w:val="en-US" w:eastAsia="zh-CN"/>
        </w:rPr>
        <w:t>329.80</w:t>
      </w:r>
      <w:r>
        <w:rPr>
          <w:rFonts w:hint="default" w:ascii="Times New Roman" w:hAnsi="Times New Roman" w:eastAsia="方正仿宋简体" w:cs="Times New Roman"/>
          <w:spacing w:val="-6"/>
          <w:sz w:val="32"/>
          <w:szCs w:val="32"/>
        </w:rPr>
        <w:t>万人</w:t>
      </w:r>
      <w:r>
        <w:rPr>
          <w:rFonts w:hint="eastAsia" w:ascii="Times New Roman" w:hAnsi="Times New Roman" w:eastAsia="方正仿宋简体" w:cs="Times New Roman"/>
          <w:spacing w:val="-6"/>
          <w:sz w:val="32"/>
          <w:szCs w:val="32"/>
          <w:lang w:eastAsia="zh-CN"/>
        </w:rPr>
        <w:t>，</w:t>
      </w:r>
      <w:r>
        <w:rPr>
          <w:rFonts w:hint="default" w:ascii="Times New Roman" w:hAnsi="Times New Roman" w:eastAsia="方正仿宋简体" w:cs="Times New Roman"/>
          <w:spacing w:val="-6"/>
          <w:sz w:val="32"/>
          <w:szCs w:val="32"/>
        </w:rPr>
        <w:t>参加工伤保险的人数</w:t>
      </w:r>
      <w:r>
        <w:rPr>
          <w:rFonts w:hint="default" w:ascii="Times New Roman" w:hAnsi="Times New Roman" w:eastAsia="方正仿宋简体" w:cs="Times New Roman"/>
          <w:spacing w:val="-6"/>
          <w:sz w:val="32"/>
          <w:szCs w:val="32"/>
          <w:lang w:val="en-US" w:eastAsia="zh-CN"/>
        </w:rPr>
        <w:t>541.91</w:t>
      </w:r>
      <w:r>
        <w:rPr>
          <w:rFonts w:hint="default" w:ascii="Times New Roman" w:hAnsi="Times New Roman" w:eastAsia="方正仿宋简体" w:cs="Times New Roman"/>
          <w:spacing w:val="-6"/>
          <w:sz w:val="32"/>
          <w:szCs w:val="32"/>
        </w:rPr>
        <w:t>万人。</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仿宋简体" w:cs="Times New Roman"/>
          <w:color w:val="000000"/>
          <w:sz w:val="32"/>
          <w:szCs w:val="32"/>
        </w:rPr>
        <w:t>年末全省各类提供住宿的社会服务机构和设施</w:t>
      </w:r>
      <w:r>
        <w:rPr>
          <w:rFonts w:hint="default" w:ascii="Times New Roman" w:hAnsi="Times New Roman" w:eastAsia="方正仿宋简体" w:cs="Times New Roman"/>
          <w:color w:val="000000"/>
          <w:sz w:val="32"/>
          <w:szCs w:val="32"/>
          <w:lang w:val="en-US" w:eastAsia="zh-CN"/>
        </w:rPr>
        <w:t>4265</w:t>
      </w:r>
      <w:r>
        <w:rPr>
          <w:rFonts w:hint="default" w:ascii="Times New Roman" w:hAnsi="Times New Roman" w:eastAsia="方正仿宋简体" w:cs="Times New Roman"/>
          <w:color w:val="000000"/>
          <w:sz w:val="32"/>
          <w:szCs w:val="32"/>
        </w:rPr>
        <w:t>个，其中养老服务机构和设施</w:t>
      </w:r>
      <w:r>
        <w:rPr>
          <w:rFonts w:hint="default" w:ascii="Times New Roman" w:hAnsi="Times New Roman" w:eastAsia="方正仿宋简体" w:cs="Times New Roman"/>
          <w:color w:val="000000"/>
          <w:sz w:val="32"/>
          <w:szCs w:val="32"/>
          <w:lang w:val="en-US" w:eastAsia="zh-CN"/>
        </w:rPr>
        <w:t>4152</w:t>
      </w:r>
      <w:r>
        <w:rPr>
          <w:rFonts w:hint="default" w:ascii="Times New Roman" w:hAnsi="Times New Roman" w:eastAsia="方正仿宋简体" w:cs="Times New Roman"/>
          <w:color w:val="000000"/>
          <w:sz w:val="32"/>
          <w:szCs w:val="32"/>
        </w:rPr>
        <w:t>个。社会服务床位</w:t>
      </w:r>
      <w:r>
        <w:rPr>
          <w:rFonts w:hint="default" w:ascii="Times New Roman" w:hAnsi="Times New Roman" w:eastAsia="方正仿宋简体" w:cs="Times New Roman"/>
          <w:color w:val="000000"/>
          <w:sz w:val="32"/>
          <w:szCs w:val="32"/>
          <w:lang w:val="en-US" w:eastAsia="zh-CN"/>
        </w:rPr>
        <w:t>13.4</w:t>
      </w:r>
      <w:r>
        <w:rPr>
          <w:rFonts w:hint="default" w:ascii="Times New Roman" w:hAnsi="Times New Roman" w:eastAsia="方正仿宋简体" w:cs="Times New Roman"/>
          <w:color w:val="000000"/>
          <w:sz w:val="32"/>
          <w:szCs w:val="32"/>
        </w:rPr>
        <w:t>万张，其中养老床位</w:t>
      </w:r>
      <w:r>
        <w:rPr>
          <w:rFonts w:hint="default" w:ascii="Times New Roman" w:hAnsi="Times New Roman" w:eastAsia="方正仿宋简体" w:cs="Times New Roman"/>
          <w:color w:val="000000"/>
          <w:sz w:val="32"/>
          <w:szCs w:val="32"/>
          <w:lang w:val="en-US" w:eastAsia="zh-CN"/>
        </w:rPr>
        <w:t>12.7</w:t>
      </w:r>
      <w:r>
        <w:rPr>
          <w:rFonts w:hint="default" w:ascii="Times New Roman" w:hAnsi="Times New Roman" w:eastAsia="方正仿宋简体" w:cs="Times New Roman"/>
          <w:color w:val="000000"/>
          <w:sz w:val="32"/>
          <w:szCs w:val="32"/>
        </w:rPr>
        <w:t>万张。各类社区服务设施</w:t>
      </w:r>
      <w:r>
        <w:rPr>
          <w:rFonts w:hint="default" w:ascii="Times New Roman" w:hAnsi="Times New Roman" w:eastAsia="方正仿宋简体" w:cs="Times New Roman"/>
          <w:color w:val="000000"/>
          <w:sz w:val="32"/>
          <w:szCs w:val="32"/>
          <w:lang w:val="en-US" w:eastAsia="zh-CN"/>
        </w:rPr>
        <w:t>14645</w:t>
      </w:r>
      <w:r>
        <w:rPr>
          <w:rFonts w:hint="default" w:ascii="Times New Roman" w:hAnsi="Times New Roman" w:eastAsia="方正仿宋简体" w:cs="Times New Roman"/>
          <w:color w:val="000000"/>
          <w:sz w:val="32"/>
          <w:szCs w:val="32"/>
        </w:rPr>
        <w:t>个，其中，社区服务中心</w:t>
      </w:r>
      <w:r>
        <w:rPr>
          <w:rFonts w:hint="default" w:ascii="Times New Roman" w:hAnsi="Times New Roman" w:eastAsia="方正仿宋简体" w:cs="Times New Roman"/>
          <w:color w:val="000000"/>
          <w:sz w:val="32"/>
          <w:szCs w:val="32"/>
          <w:lang w:val="en-US" w:eastAsia="zh-CN"/>
        </w:rPr>
        <w:t>831</w:t>
      </w:r>
      <w:r>
        <w:rPr>
          <w:rFonts w:hint="default" w:ascii="Times New Roman" w:hAnsi="Times New Roman" w:eastAsia="方正仿宋简体" w:cs="Times New Roman"/>
          <w:color w:val="000000"/>
          <w:sz w:val="32"/>
          <w:szCs w:val="32"/>
        </w:rPr>
        <w:t>个，社区服务站</w:t>
      </w:r>
      <w:r>
        <w:rPr>
          <w:rFonts w:hint="default" w:ascii="Times New Roman" w:hAnsi="Times New Roman" w:eastAsia="方正仿宋简体" w:cs="Times New Roman"/>
          <w:color w:val="000000"/>
          <w:sz w:val="32"/>
          <w:szCs w:val="32"/>
          <w:lang w:val="en-US" w:eastAsia="zh-CN"/>
        </w:rPr>
        <w:t>13576</w:t>
      </w:r>
      <w:r>
        <w:rPr>
          <w:rFonts w:hint="default" w:ascii="Times New Roman" w:hAnsi="Times New Roman" w:eastAsia="方正仿宋简体" w:cs="Times New Roman"/>
          <w:color w:val="000000"/>
          <w:sz w:val="32"/>
          <w:szCs w:val="32"/>
        </w:rPr>
        <w:t>个。全年销售社会福利彩票</w:t>
      </w:r>
      <w:r>
        <w:rPr>
          <w:rFonts w:hint="default" w:ascii="Times New Roman" w:hAnsi="Times New Roman" w:eastAsia="方正仿宋简体" w:cs="Times New Roman"/>
          <w:color w:val="000000"/>
          <w:sz w:val="32"/>
          <w:szCs w:val="32"/>
          <w:lang w:val="en-US" w:eastAsia="zh-CN"/>
        </w:rPr>
        <w:t>67.65</w:t>
      </w:r>
      <w:r>
        <w:rPr>
          <w:rFonts w:hint="default" w:ascii="Times New Roman" w:hAnsi="Times New Roman" w:eastAsia="方正仿宋简体" w:cs="Times New Roman"/>
          <w:color w:val="000000"/>
          <w:sz w:val="32"/>
          <w:szCs w:val="32"/>
        </w:rPr>
        <w:t>亿元。</w:t>
      </w: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黑体简体" w:cs="Times New Roman"/>
          <w:sz w:val="32"/>
          <w:szCs w:val="32"/>
        </w:rPr>
      </w:pPr>
    </w:p>
    <w:p>
      <w:pPr>
        <w:pStyle w:val="2"/>
        <w:ind w:left="0" w:leftChars="0" w:firstLine="0" w:firstLineChars="0"/>
        <w:rPr>
          <w:rFonts w:hint="default"/>
        </w:rPr>
      </w:pPr>
    </w:p>
    <w:p>
      <w:pPr>
        <w:pStyle w:val="3"/>
        <w:rPr>
          <w:rFonts w:hint="default"/>
        </w:rPr>
      </w:pPr>
    </w:p>
    <w:p>
      <w:pPr>
        <w:pStyle w:val="2"/>
        <w:rPr>
          <w:rFonts w:hint="default"/>
        </w:rPr>
      </w:pPr>
    </w:p>
    <w:p>
      <w:pPr>
        <w:keepNext w:val="0"/>
        <w:keepLines w:val="0"/>
        <w:pageBreakBefore w:val="0"/>
        <w:kinsoku/>
        <w:wordWrap/>
        <w:overflowPunct w:val="0"/>
        <w:topLinePunct w:val="0"/>
        <w:autoSpaceDE/>
        <w:autoSpaceDN/>
        <w:bidi w:val="0"/>
        <w:adjustRightInd/>
        <w:spacing w:line="560" w:lineRule="exact"/>
        <w:ind w:firstLine="640" w:firstLineChars="200"/>
        <w:rPr>
          <w:rFonts w:hint="default" w:ascii="Times New Roman" w:hAnsi="Times New Roman" w:eastAsia="方正黑体简体" w:cs="Times New Roman"/>
        </w:rPr>
      </w:pPr>
      <w:r>
        <w:rPr>
          <w:rFonts w:hint="default" w:ascii="Times New Roman" w:hAnsi="Times New Roman" w:eastAsia="方正黑体简体" w:cs="Times New Roman"/>
          <w:sz w:val="32"/>
          <w:szCs w:val="32"/>
        </w:rPr>
        <w:t>注释：</w:t>
      </w:r>
    </w:p>
    <w:sectPr>
      <w:footerReference r:id="rId5" w:type="default"/>
      <w:footerReference r:id="rId6" w:type="even"/>
      <w:endnotePr>
        <w:numFmt w:val="decimal"/>
      </w:endnotePr>
      <w:pgSz w:w="11906" w:h="16838"/>
      <w:pgMar w:top="1871" w:right="1531" w:bottom="1588" w:left="1531" w:header="851" w:footer="147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40">
    <w:p/>
  </w:endnote>
  <w:endnote w:type="continuationSeparator" w:id="41">
    <w:p/>
  </w:endnote>
  <w:endnote w:id="0">
    <w:p>
      <w:pPr>
        <w:pStyle w:val="9"/>
        <w:spacing w:line="42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公报中各项数据为初步统计数，部分数据因四舍五入的原因，存在总计与分项合计不等的情况。</w:t>
      </w:r>
    </w:p>
  </w:endnote>
  <w:endnote w:id="1">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生产总值、三次产业增加值的绝对值按现价计算，增长速度按可比价计算。</w:t>
      </w:r>
    </w:p>
  </w:endnote>
  <w:endnote w:id="2">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w:t>
      </w:r>
      <w:r>
        <w:rPr>
          <w:rFonts w:hint="default" w:ascii="方正楷体简体" w:hAnsi="方正楷体简体" w:eastAsia="方正楷体简体" w:cs="方正楷体简体"/>
          <w:sz w:val="28"/>
          <w:szCs w:val="28"/>
        </w:rPr>
        <w:t xml:space="preserve"> 居民消费价格及相关价格指数由国家统计局云南调查总队提供。</w:t>
      </w:r>
      <w:r>
        <w:rPr>
          <w:rFonts w:hint="eastAsia" w:ascii="方正楷体简体" w:hAnsi="方正楷体简体" w:eastAsia="方正楷体简体" w:cs="方正楷体简体"/>
          <w:sz w:val="28"/>
          <w:szCs w:val="28"/>
        </w:rPr>
        <w:t xml:space="preserve"> </w:t>
      </w:r>
    </w:p>
  </w:endnote>
  <w:endnote w:id="3">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农民工总量由国家统计局云南调查总队提供。</w:t>
      </w:r>
    </w:p>
  </w:endnote>
  <w:endnote w:id="4">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201</w:t>
      </w:r>
      <w:r>
        <w:rPr>
          <w:rFonts w:hint="eastAsia" w:ascii="方正楷体简体" w:hAnsi="方正楷体简体" w:eastAsia="方正楷体简体" w:cs="方正楷体简体"/>
          <w:sz w:val="28"/>
          <w:szCs w:val="28"/>
          <w:lang w:val="en-US" w:eastAsia="zh-CN"/>
        </w:rPr>
        <w:t>7</w:t>
      </w:r>
      <w:r>
        <w:rPr>
          <w:rFonts w:hint="eastAsia" w:ascii="方正楷体简体" w:hAnsi="方正楷体简体" w:eastAsia="方正楷体简体" w:cs="方正楷体简体"/>
          <w:sz w:val="28"/>
          <w:szCs w:val="28"/>
        </w:rPr>
        <w:t>-2020年全员劳动生产率使用按2015年价格核算的不变价地区生产总值计算，2021年全员劳动生产率使用按2020年价格核算的不变价地区生产总值计算。</w:t>
      </w:r>
    </w:p>
  </w:endnote>
  <w:endnote w:id="5">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粮食总产量由国家统计局云南调查总队提供。</w:t>
      </w:r>
    </w:p>
  </w:endnote>
  <w:endnote w:id="6">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肉类总产量、牛奶产量、禽蛋产量由国家统计局云南调查总队提供。</w:t>
      </w:r>
    </w:p>
  </w:endnote>
  <w:endnote w:id="7">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val="en-US" w:eastAsia="zh-CN"/>
        </w:rPr>
        <w:t xml:space="preserve"> </w:t>
      </w:r>
      <w:r>
        <w:rPr>
          <w:rFonts w:hint="default" w:ascii="方正楷体简体" w:hAnsi="方正楷体简体" w:eastAsia="方正楷体简体" w:cs="方正楷体简体"/>
          <w:sz w:val="28"/>
          <w:szCs w:val="28"/>
        </w:rPr>
        <w:t>除粮食、鲜切花和水产品外，其余农产品产量均为快报数</w:t>
      </w:r>
      <w:r>
        <w:rPr>
          <w:rFonts w:hint="default" w:ascii="方正楷体简体" w:hAnsi="方正楷体简体" w:eastAsia="方正楷体简体" w:cs="方正楷体简体"/>
          <w:sz w:val="28"/>
          <w:szCs w:val="28"/>
          <w:lang w:eastAsia="zh-CN"/>
        </w:rPr>
        <w:t>；</w:t>
      </w:r>
      <w:r>
        <w:rPr>
          <w:rFonts w:hint="default" w:ascii="方正楷体简体" w:hAnsi="方正楷体简体" w:eastAsia="方正楷体简体" w:cs="方正楷体简体"/>
          <w:sz w:val="28"/>
          <w:szCs w:val="28"/>
          <w:lang w:val="en-US" w:eastAsia="zh-CN"/>
        </w:rPr>
        <w:t>2021年</w:t>
      </w:r>
      <w:r>
        <w:rPr>
          <w:rFonts w:hint="default" w:ascii="方正楷体简体" w:hAnsi="方正楷体简体" w:eastAsia="方正楷体简体" w:cs="方正楷体简体"/>
          <w:sz w:val="28"/>
          <w:szCs w:val="28"/>
          <w:lang w:eastAsia="zh-CN"/>
        </w:rPr>
        <w:t>核桃产量按鲜果统计</w:t>
      </w:r>
      <w:r>
        <w:rPr>
          <w:rFonts w:hint="default" w:ascii="方正楷体简体" w:hAnsi="方正楷体简体" w:eastAsia="方正楷体简体" w:cs="方正楷体简体"/>
          <w:sz w:val="28"/>
          <w:szCs w:val="28"/>
        </w:rPr>
        <w:t>。</w:t>
      </w:r>
    </w:p>
  </w:endnote>
  <w:endnote w:id="8">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规模以上工业企业是指年主营业务收入2000万元及以上工业法人企业。</w:t>
      </w:r>
    </w:p>
  </w:endnote>
  <w:endnote w:id="9">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固定资产投资（不含农户）是指城镇和农村非农户计划总投资500万元及以上的固定资产项目投资和房地产开发投资。</w:t>
      </w:r>
    </w:p>
  </w:endnote>
  <w:endnote w:id="10">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限额以上批发企业是指年主营业务收入2000万元及以上的批发企业；限额以上零售企业是指年主营业务收入500万元及以上的零售企业。</w:t>
      </w:r>
    </w:p>
  </w:endnote>
  <w:endnote w:id="11">
    <w:p>
      <w:pPr>
        <w:pStyle w:val="9"/>
        <w:spacing w:line="420" w:lineRule="exact"/>
        <w:ind w:firstLine="560" w:firstLineChars="200"/>
        <w:jc w:val="both"/>
        <w:rPr>
          <w:rFonts w:hint="eastAsia" w:ascii="方正楷体简体" w:hAnsi="方正楷体简体" w:eastAsia="方正楷体简体" w:cs="方正楷体简体"/>
          <w:sz w:val="28"/>
          <w:szCs w:val="28"/>
          <w:lang w:val="en-US" w:eastAsia="zh-CN"/>
        </w:rPr>
      </w:pPr>
      <w:r>
        <w:rPr>
          <w:rFonts w:hint="eastAsia" w:ascii="方正楷体简体" w:hAnsi="方正楷体简体" w:eastAsia="方正楷体简体" w:cs="方正楷体简体"/>
          <w:sz w:val="28"/>
          <w:szCs w:val="28"/>
          <w:lang w:val="en-US" w:eastAsia="zh-CN"/>
        </w:rPr>
        <w:t>[</w:t>
      </w:r>
      <w:r>
        <w:rPr>
          <w:rFonts w:hint="eastAsia" w:ascii="方正楷体简体" w:hAnsi="方正楷体简体" w:eastAsia="方正楷体简体" w:cs="方正楷体简体"/>
          <w:sz w:val="28"/>
          <w:szCs w:val="28"/>
          <w:lang w:val="en-US" w:eastAsia="zh-CN"/>
        </w:rPr>
        <w:endnoteRef/>
      </w:r>
      <w:r>
        <w:rPr>
          <w:rFonts w:hint="eastAsia" w:ascii="方正楷体简体" w:hAnsi="方正楷体简体" w:eastAsia="方正楷体简体" w:cs="方正楷体简体"/>
          <w:sz w:val="28"/>
          <w:szCs w:val="28"/>
          <w:lang w:val="en-US" w:eastAsia="zh-CN"/>
        </w:rPr>
        <w:t>] 2021年邮政业务完成总量为最新不变单价计算，与往年数据不具可比性。</w:t>
      </w:r>
    </w:p>
  </w:endnote>
  <w:endnote w:id="12">
    <w:p>
      <w:pPr>
        <w:pStyle w:val="9"/>
        <w:spacing w:line="420" w:lineRule="exact"/>
        <w:ind w:firstLine="560" w:firstLineChars="200"/>
        <w:jc w:val="both"/>
        <w:rPr>
          <w:rFonts w:hint="eastAsia" w:ascii="方正楷体简体" w:hAnsi="方正楷体简体" w:eastAsia="方正楷体简体" w:cs="方正楷体简体"/>
          <w:sz w:val="28"/>
          <w:szCs w:val="28"/>
          <w:lang w:val="en-US" w:eastAsia="zh-CN"/>
        </w:rPr>
      </w:pPr>
      <w:r>
        <w:rPr>
          <w:rFonts w:hint="eastAsia" w:ascii="方正楷体简体" w:hAnsi="方正楷体简体" w:eastAsia="方正楷体简体" w:cs="方正楷体简体"/>
          <w:sz w:val="28"/>
          <w:szCs w:val="28"/>
          <w:lang w:val="en-US" w:eastAsia="zh-CN"/>
        </w:rPr>
        <w:t>[</w:t>
      </w:r>
      <w:r>
        <w:rPr>
          <w:rFonts w:hint="eastAsia" w:ascii="方正楷体简体" w:hAnsi="方正楷体简体" w:eastAsia="方正楷体简体" w:cs="方正楷体简体"/>
          <w:sz w:val="28"/>
          <w:szCs w:val="28"/>
          <w:lang w:val="en-US" w:eastAsia="zh-CN"/>
        </w:rPr>
        <w:endnoteRef/>
      </w:r>
      <w:r>
        <w:rPr>
          <w:rFonts w:hint="eastAsia" w:ascii="方正楷体简体" w:hAnsi="方正楷体简体" w:eastAsia="方正楷体简体" w:cs="方正楷体简体"/>
          <w:sz w:val="28"/>
          <w:szCs w:val="28"/>
          <w:lang w:val="en-US" w:eastAsia="zh-CN"/>
        </w:rPr>
        <w:t>] 电信业务总量以2020年不变单价计算。</w:t>
      </w:r>
    </w:p>
  </w:endnote>
  <w:endnote w:id="13">
    <w:p>
      <w:pPr>
        <w:pStyle w:val="9"/>
        <w:spacing w:line="420" w:lineRule="exact"/>
        <w:ind w:firstLine="560" w:firstLineChars="200"/>
        <w:jc w:val="both"/>
        <w:rPr>
          <w:rFonts w:hint="eastAsia" w:ascii="方正楷体简体" w:hAnsi="方正楷体简体" w:eastAsia="方正楷体简体" w:cs="方正楷体简体"/>
          <w:sz w:val="28"/>
          <w:szCs w:val="28"/>
          <w:lang w:eastAsia="zh-CN"/>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艺术表演团体为国有文艺院团数</w:t>
      </w:r>
      <w:r>
        <w:rPr>
          <w:rFonts w:hint="eastAsia" w:ascii="方正楷体简体" w:hAnsi="方正楷体简体" w:eastAsia="方正楷体简体" w:cs="方正楷体简体"/>
          <w:sz w:val="28"/>
          <w:szCs w:val="28"/>
          <w:lang w:eastAsia="zh-CN"/>
        </w:rPr>
        <w:t>。</w:t>
      </w:r>
    </w:p>
  </w:endnote>
  <w:endnote w:id="14">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总诊疗人次指所有诊疗工作的总人次数，包括门诊、急诊、出诊、预约诊疗、单项健康检查、健康咨询指导（不含健康讲座）人次。</w:t>
      </w:r>
    </w:p>
  </w:endnote>
  <w:endnote w:id="15">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出院人数指报告期内所有住院后出院的人数，包括医嘱离院、医嘱转其他医疗机构、非医嘱离院、死亡及其他人数，不含家庭病床撤床人数。</w:t>
      </w:r>
    </w:p>
  </w:endnote>
  <w:endnote w:id="16">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xml:space="preserve">] </w:t>
      </w:r>
      <w:r>
        <w:rPr>
          <w:rFonts w:hint="default" w:ascii="方正楷体简体" w:hAnsi="方正楷体简体" w:eastAsia="方正楷体简体" w:cs="方正楷体简体"/>
          <w:sz w:val="28"/>
          <w:szCs w:val="28"/>
        </w:rPr>
        <w:t>2021年年末，0-14岁（含不满15周岁）人口为902万人，15-59岁（含不满60周岁）人口为3077万人。</w:t>
      </w:r>
    </w:p>
  </w:endnote>
  <w:endnote w:id="17">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居民人均可支配收入数据由国家统计局云南调查总队提供。居民人均可支配收入指通过住户收支与生活状况调查取得的，调查户在调查期内获得的、可用于最终消费支出和储蓄的总和，即调查户可以用来自由支配的收入，除以家庭常住人口得到的人均收入。可支配收入既包括现金，也包括实物收入。按照收入的来源，可支配收入包含四项，分别为：工资性收入、经营净收入、财产净收入、转移净收入。按常住地分，得到城镇和农村居民可支配收入。</w:t>
      </w:r>
    </w:p>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计算公式为：</w:t>
      </w:r>
    </w:p>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可支配收入=工资性收入+经营净收入+财产净收入+转移净收入 </w:t>
      </w:r>
    </w:p>
    <w:p>
      <w:pPr>
        <w:pStyle w:val="9"/>
        <w:spacing w:line="420" w:lineRule="exact"/>
        <w:ind w:firstLine="560" w:firstLineChars="200"/>
        <w:jc w:val="both"/>
        <w:rPr>
          <w:rFonts w:hint="eastAsia" w:ascii="方正楷体简体" w:hAnsi="方正楷体简体" w:eastAsia="方正楷体简体" w:cs="方正楷体简体"/>
          <w:spacing w:val="-6"/>
          <w:sz w:val="28"/>
          <w:szCs w:val="28"/>
        </w:rPr>
      </w:pPr>
      <w:r>
        <w:rPr>
          <w:rFonts w:hint="eastAsia" w:ascii="方正楷体简体" w:hAnsi="方正楷体简体" w:eastAsia="方正楷体简体" w:cs="方正楷体简体"/>
          <w:sz w:val="28"/>
          <w:szCs w:val="28"/>
        </w:rPr>
        <w:t>其中：</w:t>
      </w:r>
      <w:r>
        <w:rPr>
          <w:rFonts w:hint="eastAsia" w:ascii="方正楷体简体" w:hAnsi="方正楷体简体" w:eastAsia="方正楷体简体" w:cs="方正楷体简体"/>
          <w:spacing w:val="-6"/>
          <w:sz w:val="28"/>
          <w:szCs w:val="28"/>
        </w:rPr>
        <w:t>经营净收入=经营收入-经营费用-生产性固定资产-折旧生产税</w:t>
      </w:r>
    </w:p>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       财产净收入=财产性收入-财产性支出 </w:t>
      </w:r>
    </w:p>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       转移净收入=转移性收入-转移性支出</w:t>
      </w:r>
    </w:p>
  </w:endnote>
  <w:endnote w:id="18">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xml:space="preserve">] </w:t>
      </w:r>
      <w:r>
        <w:rPr>
          <w:rFonts w:hint="eastAsia" w:ascii="方正楷体简体" w:hAnsi="方正楷体简体" w:eastAsia="方正楷体简体" w:cs="方正楷体简体"/>
          <w:sz w:val="28"/>
          <w:szCs w:val="28"/>
          <w:lang w:eastAsia="zh-CN"/>
        </w:rPr>
        <w:t>脱贫县</w:t>
      </w:r>
      <w:r>
        <w:rPr>
          <w:rFonts w:hint="eastAsia" w:ascii="方正楷体简体" w:hAnsi="方正楷体简体" w:eastAsia="方正楷体简体" w:cs="方正楷体简体"/>
          <w:sz w:val="28"/>
          <w:szCs w:val="28"/>
        </w:rPr>
        <w:t>包括</w:t>
      </w:r>
      <w:r>
        <w:rPr>
          <w:rFonts w:hint="eastAsia" w:ascii="方正楷体简体" w:hAnsi="方正楷体简体" w:eastAsia="方正楷体简体" w:cs="方正楷体简体"/>
          <w:sz w:val="28"/>
          <w:szCs w:val="28"/>
          <w:lang w:eastAsia="zh-CN"/>
        </w:rPr>
        <w:t>原</w:t>
      </w:r>
      <w:r>
        <w:rPr>
          <w:rFonts w:hint="eastAsia" w:ascii="方正楷体简体" w:hAnsi="方正楷体简体" w:eastAsia="方正楷体简体" w:cs="方正楷体简体"/>
          <w:sz w:val="28"/>
          <w:szCs w:val="28"/>
        </w:rPr>
        <w:t>集中连片特困地区和片区外的国家扶贫开发工作重点县，共有88个县。</w:t>
      </w:r>
    </w:p>
  </w:endnote>
  <w:endnote w:id="19">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居民人均消费支出数据由国家统计局云南调查总队提供。居民人均消费支出指住户在调查期间内用于满足家庭日常生活消费需要的全部支出，包括用于消费品的支出和用于服务性消费的支出，除以家庭常住人口得到的人均支出。根据用途不同，消费支出可划分为食品烟酒、衣着、居住、生活用品及服务、交通通信、教育文化娱乐、医疗保健、其他用品及服务八大类。根据来源不同，消费支出可划分为现金消费支出、实物消费支出（含自产自用、来自单位、来自政府和其他社会组织）。按常住地分，得到城镇和农村居民消费支出。</w:t>
      </w:r>
    </w:p>
    <w:p>
      <w:pPr>
        <w:pStyle w:val="9"/>
        <w:spacing w:line="420" w:lineRule="exact"/>
        <w:ind w:firstLine="560" w:firstLineChars="200"/>
        <w:jc w:val="both"/>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val="en-US" w:eastAsia="zh-CN"/>
        </w:rPr>
        <w:t>21</w:t>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val="en-US" w:eastAsia="zh-CN"/>
        </w:rPr>
        <w:t xml:space="preserve"> </w:t>
      </w:r>
      <w:r>
        <w:rPr>
          <w:rFonts w:hint="eastAsia" w:ascii="方正楷体简体" w:hAnsi="方正楷体简体" w:eastAsia="方正楷体简体" w:cs="方正楷体简体"/>
          <w:sz w:val="28"/>
          <w:szCs w:val="28"/>
        </w:rPr>
        <w:t>公报中</w:t>
      </w:r>
      <w:r>
        <w:rPr>
          <w:rFonts w:hint="eastAsia" w:ascii="方正楷体简体" w:hAnsi="方正楷体简体" w:eastAsia="方正楷体简体" w:cs="方正楷体简体"/>
          <w:sz w:val="28"/>
          <w:szCs w:val="28"/>
          <w:lang w:eastAsia="zh-CN"/>
        </w:rPr>
        <w:t>财政、对外经济、交通运输、邮政、电信、金融、保险、证券、教育、科技、文化、卫生、体育、水利、林业、环境保护、应急管理、社会保障等数据来源于相关部门。</w:t>
      </w:r>
      <w:r>
        <w:rPr>
          <w:rFonts w:hint="eastAsia" w:ascii="方正楷体简体" w:hAnsi="方正楷体简体" w:eastAsia="方正楷体简体" w:cs="方正楷体简体"/>
          <w:sz w:val="28"/>
          <w:szCs w:val="28"/>
          <w:lang w:val="en-US" w:eastAsia="zh-C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rPr>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descr="7b0a20202020227461726765744964223a202270726f636573734f6e6c696e6554657874426f78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Batang" w:hAnsi="Batang" w:eastAsia="Batang" w:cs="Batang"/>
                              <w:sz w:val="28"/>
                              <w:szCs w:val="28"/>
                            </w:rPr>
                          </w:pPr>
                          <w:r>
                            <w:rPr>
                              <w:rFonts w:hint="eastAsia" w:ascii="Batang" w:hAnsi="Batang" w:eastAsia="Batang" w:cs="Batang"/>
                              <w:sz w:val="28"/>
                              <w:szCs w:val="28"/>
                            </w:rPr>
                            <w:t xml:space="preserve">— </w:t>
                          </w:r>
                          <w:r>
                            <w:rPr>
                              <w:rFonts w:hint="eastAsia" w:ascii="Batang" w:hAnsi="Batang" w:eastAsia="Batang" w:cs="Batang"/>
                              <w:sz w:val="28"/>
                              <w:szCs w:val="28"/>
                            </w:rPr>
                            <w:fldChar w:fldCharType="begin"/>
                          </w:r>
                          <w:r>
                            <w:rPr>
                              <w:rFonts w:hint="eastAsia" w:ascii="Batang" w:hAnsi="Batang" w:eastAsia="Batang" w:cs="Batang"/>
                              <w:sz w:val="28"/>
                              <w:szCs w:val="28"/>
                            </w:rPr>
                            <w:instrText xml:space="preserve"> PAGE  \* MERGEFORMAT </w:instrText>
                          </w:r>
                          <w:r>
                            <w:rPr>
                              <w:rFonts w:hint="eastAsia" w:ascii="Batang" w:hAnsi="Batang" w:eastAsia="Batang" w:cs="Batang"/>
                              <w:sz w:val="28"/>
                              <w:szCs w:val="28"/>
                            </w:rPr>
                            <w:fldChar w:fldCharType="separate"/>
                          </w:r>
                          <w:r>
                            <w:rPr>
                              <w:rFonts w:hint="eastAsia" w:ascii="Batang" w:hAnsi="Batang" w:eastAsia="Batang" w:cs="Batang"/>
                              <w:sz w:val="28"/>
                              <w:szCs w:val="28"/>
                            </w:rPr>
                            <w:t>1</w:t>
                          </w:r>
                          <w:r>
                            <w:rPr>
                              <w:rFonts w:hint="eastAsia" w:ascii="Batang" w:hAnsi="Batang" w:eastAsia="Batang" w:cs="Batang"/>
                              <w:sz w:val="28"/>
                              <w:szCs w:val="28"/>
                            </w:rPr>
                            <w:fldChar w:fldCharType="end"/>
                          </w:r>
                          <w:r>
                            <w:rPr>
                              <w:rFonts w:hint="eastAsia" w:ascii="Batang" w:hAnsi="Batang" w:eastAsia="Batang" w:cs="Batang"/>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54657874426f78220a7d0a"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s0lY7tAAAAAFAQAADwAAAAAAAAABACAAAAAiAAAAZHJzL2Rvd25yZXYu&#10;eG1sUEsBAhQAFAAAAAgAh07iQBB/ylF1AgAAwgQAAA4AAAAAAAAAAQAgAAAAHwEAAGRycy9lMm9E&#10;b2MueG1sUEsFBgAAAAAGAAYAWQEAAAYGAAAAAA==&#10;">
              <v:fill on="f" focussize="0,0"/>
              <v:stroke on="f" weight="0.5pt"/>
              <v:imagedata o:title=""/>
              <o:lock v:ext="edit" aspectratio="f"/>
              <v:textbox inset="0mm,0mm,0mm,0mm" style="mso-fit-shape-to-text:t;">
                <w:txbxContent>
                  <w:p>
                    <w:pPr>
                      <w:pStyle w:val="10"/>
                      <w:rPr>
                        <w:rFonts w:hint="eastAsia" w:ascii="Batang" w:hAnsi="Batang" w:eastAsia="Batang" w:cs="Batang"/>
                        <w:sz w:val="28"/>
                        <w:szCs w:val="28"/>
                      </w:rPr>
                    </w:pPr>
                    <w:r>
                      <w:rPr>
                        <w:rFonts w:hint="eastAsia" w:ascii="Batang" w:hAnsi="Batang" w:eastAsia="Batang" w:cs="Batang"/>
                        <w:sz w:val="28"/>
                        <w:szCs w:val="28"/>
                      </w:rPr>
                      <w:t xml:space="preserve">— </w:t>
                    </w:r>
                    <w:r>
                      <w:rPr>
                        <w:rFonts w:hint="eastAsia" w:ascii="Batang" w:hAnsi="Batang" w:eastAsia="Batang" w:cs="Batang"/>
                        <w:sz w:val="28"/>
                        <w:szCs w:val="28"/>
                      </w:rPr>
                      <w:fldChar w:fldCharType="begin"/>
                    </w:r>
                    <w:r>
                      <w:rPr>
                        <w:rFonts w:hint="eastAsia" w:ascii="Batang" w:hAnsi="Batang" w:eastAsia="Batang" w:cs="Batang"/>
                        <w:sz w:val="28"/>
                        <w:szCs w:val="28"/>
                      </w:rPr>
                      <w:instrText xml:space="preserve"> PAGE  \* MERGEFORMAT </w:instrText>
                    </w:r>
                    <w:r>
                      <w:rPr>
                        <w:rFonts w:hint="eastAsia" w:ascii="Batang" w:hAnsi="Batang" w:eastAsia="Batang" w:cs="Batang"/>
                        <w:sz w:val="28"/>
                        <w:szCs w:val="28"/>
                      </w:rPr>
                      <w:fldChar w:fldCharType="separate"/>
                    </w:r>
                    <w:r>
                      <w:rPr>
                        <w:rFonts w:hint="eastAsia" w:ascii="Batang" w:hAnsi="Batang" w:eastAsia="Batang" w:cs="Batang"/>
                        <w:sz w:val="28"/>
                        <w:szCs w:val="28"/>
                      </w:rPr>
                      <w:t>1</w:t>
                    </w:r>
                    <w:r>
                      <w:rPr>
                        <w:rFonts w:hint="eastAsia" w:ascii="Batang" w:hAnsi="Batang" w:eastAsia="Batang" w:cs="Batang"/>
                        <w:sz w:val="28"/>
                        <w:szCs w:val="28"/>
                      </w:rPr>
                      <w:fldChar w:fldCharType="end"/>
                    </w:r>
                    <w:r>
                      <w:rPr>
                        <w:rFonts w:hint="eastAsia" w:ascii="Batang" w:hAnsi="Batang" w:eastAsia="Batang" w:cs="Batang"/>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10"/>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981C9"/>
    <w:multiLevelType w:val="singleLevel"/>
    <w:tmpl w:val="49D981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
  <w:drawingGridVerticalSpacing w:val="156"/>
  <w:displayHorizontalDrawingGridEvery w:val="1"/>
  <w:displayVerticalDrawingGridEvery w:val="1"/>
  <w:noPunctuationKerning w:val="1"/>
  <w:characterSpacingControl w:val="compressPunctuation"/>
  <w:noLineBreaksAfter w:lang="zh-CN" w:val="([{·‘“〈《「『【〔〖（．［｛￡￥"/>
  <w:noLineBreaksBefore w:lang="zh-CN" w:val="!),.:;?]}¨·ˇˉ―‖’”…∶、。〃々〉》」』】〕〗！＂＇），．：；？］｀｜｝～￠"/>
  <w:footnotePr>
    <w:footnote w:id="0"/>
    <w:footnote w:id="1"/>
  </w:footnotePr>
  <w:endnotePr>
    <w:numFmt w:val="decimal"/>
    <w:endnote w:id="40"/>
    <w:endnote w:id="4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7A"/>
    <w:rsid w:val="00032C1C"/>
    <w:rsid w:val="0007665B"/>
    <w:rsid w:val="00081A8B"/>
    <w:rsid w:val="000A0847"/>
    <w:rsid w:val="000D085C"/>
    <w:rsid w:val="000F23A6"/>
    <w:rsid w:val="001A5BF2"/>
    <w:rsid w:val="001D7D94"/>
    <w:rsid w:val="001E3D23"/>
    <w:rsid w:val="002806FA"/>
    <w:rsid w:val="002B4ECB"/>
    <w:rsid w:val="002F3713"/>
    <w:rsid w:val="002F607D"/>
    <w:rsid w:val="0031777B"/>
    <w:rsid w:val="00337B18"/>
    <w:rsid w:val="003643F3"/>
    <w:rsid w:val="003C265B"/>
    <w:rsid w:val="00411B01"/>
    <w:rsid w:val="005470B3"/>
    <w:rsid w:val="0080203B"/>
    <w:rsid w:val="008034F5"/>
    <w:rsid w:val="00976ADB"/>
    <w:rsid w:val="00997B45"/>
    <w:rsid w:val="009B379C"/>
    <w:rsid w:val="009C538F"/>
    <w:rsid w:val="00A22013"/>
    <w:rsid w:val="00B050C0"/>
    <w:rsid w:val="00B110BF"/>
    <w:rsid w:val="00B3222E"/>
    <w:rsid w:val="00B80D54"/>
    <w:rsid w:val="00C17AE7"/>
    <w:rsid w:val="00C452FC"/>
    <w:rsid w:val="00C80410"/>
    <w:rsid w:val="00CE3EF8"/>
    <w:rsid w:val="00D44D22"/>
    <w:rsid w:val="00E00915"/>
    <w:rsid w:val="00E13540"/>
    <w:rsid w:val="00E54D9B"/>
    <w:rsid w:val="00EB7A7A"/>
    <w:rsid w:val="00EC3198"/>
    <w:rsid w:val="00F10D03"/>
    <w:rsid w:val="00F223AC"/>
    <w:rsid w:val="00F601DF"/>
    <w:rsid w:val="00F6138C"/>
    <w:rsid w:val="0141026B"/>
    <w:rsid w:val="01C65F7E"/>
    <w:rsid w:val="01F417DE"/>
    <w:rsid w:val="02026855"/>
    <w:rsid w:val="02472DD6"/>
    <w:rsid w:val="025C2A5E"/>
    <w:rsid w:val="0260262F"/>
    <w:rsid w:val="028D6997"/>
    <w:rsid w:val="0298456F"/>
    <w:rsid w:val="02B5041B"/>
    <w:rsid w:val="02FE6C6D"/>
    <w:rsid w:val="03086828"/>
    <w:rsid w:val="031B0754"/>
    <w:rsid w:val="034A278D"/>
    <w:rsid w:val="036E0F0D"/>
    <w:rsid w:val="038D52AA"/>
    <w:rsid w:val="03AD6786"/>
    <w:rsid w:val="03EC3164"/>
    <w:rsid w:val="03FC213D"/>
    <w:rsid w:val="041765B4"/>
    <w:rsid w:val="045D14CC"/>
    <w:rsid w:val="04A82812"/>
    <w:rsid w:val="05662AED"/>
    <w:rsid w:val="05785CA1"/>
    <w:rsid w:val="05994A73"/>
    <w:rsid w:val="05D77FDD"/>
    <w:rsid w:val="05DD35D1"/>
    <w:rsid w:val="05F308CF"/>
    <w:rsid w:val="06055BEB"/>
    <w:rsid w:val="063C3792"/>
    <w:rsid w:val="0649519C"/>
    <w:rsid w:val="06D16552"/>
    <w:rsid w:val="06ED1419"/>
    <w:rsid w:val="06EF0649"/>
    <w:rsid w:val="07802412"/>
    <w:rsid w:val="078D426E"/>
    <w:rsid w:val="07C46BA7"/>
    <w:rsid w:val="07C91828"/>
    <w:rsid w:val="07E40449"/>
    <w:rsid w:val="080D0CFA"/>
    <w:rsid w:val="084243A1"/>
    <w:rsid w:val="084F19BE"/>
    <w:rsid w:val="085E716A"/>
    <w:rsid w:val="086842F2"/>
    <w:rsid w:val="087C417F"/>
    <w:rsid w:val="08885355"/>
    <w:rsid w:val="08AE4034"/>
    <w:rsid w:val="08C900BF"/>
    <w:rsid w:val="08CE3DF3"/>
    <w:rsid w:val="08D241B5"/>
    <w:rsid w:val="090E4597"/>
    <w:rsid w:val="09150D54"/>
    <w:rsid w:val="09292481"/>
    <w:rsid w:val="093239C8"/>
    <w:rsid w:val="09496BB6"/>
    <w:rsid w:val="09922B25"/>
    <w:rsid w:val="09A73983"/>
    <w:rsid w:val="09DA2525"/>
    <w:rsid w:val="0A277DAD"/>
    <w:rsid w:val="0A41319F"/>
    <w:rsid w:val="0A4318F5"/>
    <w:rsid w:val="0A4F0A97"/>
    <w:rsid w:val="0A8C7BD4"/>
    <w:rsid w:val="0AC82CB7"/>
    <w:rsid w:val="0ACF7498"/>
    <w:rsid w:val="0AE968FD"/>
    <w:rsid w:val="0B260A6A"/>
    <w:rsid w:val="0B3C211B"/>
    <w:rsid w:val="0B4C4FC0"/>
    <w:rsid w:val="0B636D85"/>
    <w:rsid w:val="0B7D03FA"/>
    <w:rsid w:val="0B9C0F34"/>
    <w:rsid w:val="0B9F00AB"/>
    <w:rsid w:val="0BDC1E58"/>
    <w:rsid w:val="0BFC7003"/>
    <w:rsid w:val="0C1167F9"/>
    <w:rsid w:val="0C192E6A"/>
    <w:rsid w:val="0C3B1577"/>
    <w:rsid w:val="0CAA7F6D"/>
    <w:rsid w:val="0CCB14E9"/>
    <w:rsid w:val="0CCC421D"/>
    <w:rsid w:val="0CE9136E"/>
    <w:rsid w:val="0CEA16BD"/>
    <w:rsid w:val="0D826B67"/>
    <w:rsid w:val="0E04336A"/>
    <w:rsid w:val="0E4075DF"/>
    <w:rsid w:val="0E4B11BB"/>
    <w:rsid w:val="0E7733ED"/>
    <w:rsid w:val="0ECE7CAD"/>
    <w:rsid w:val="0EE16073"/>
    <w:rsid w:val="0EEF7602"/>
    <w:rsid w:val="0F5238D5"/>
    <w:rsid w:val="0F6230F0"/>
    <w:rsid w:val="0FDA038C"/>
    <w:rsid w:val="0FF9149A"/>
    <w:rsid w:val="10035283"/>
    <w:rsid w:val="108B336E"/>
    <w:rsid w:val="10952D96"/>
    <w:rsid w:val="10B0204B"/>
    <w:rsid w:val="10C1027C"/>
    <w:rsid w:val="10CF1A59"/>
    <w:rsid w:val="111D7B29"/>
    <w:rsid w:val="113E7F89"/>
    <w:rsid w:val="11484450"/>
    <w:rsid w:val="114C04A7"/>
    <w:rsid w:val="114F0624"/>
    <w:rsid w:val="115408F9"/>
    <w:rsid w:val="1169712A"/>
    <w:rsid w:val="11B71D12"/>
    <w:rsid w:val="11E30067"/>
    <w:rsid w:val="11F41866"/>
    <w:rsid w:val="11F821C6"/>
    <w:rsid w:val="122A1B51"/>
    <w:rsid w:val="123019BA"/>
    <w:rsid w:val="124B75E9"/>
    <w:rsid w:val="126727C6"/>
    <w:rsid w:val="12CA6271"/>
    <w:rsid w:val="12F90B71"/>
    <w:rsid w:val="1340378F"/>
    <w:rsid w:val="135D76C3"/>
    <w:rsid w:val="137B6D94"/>
    <w:rsid w:val="13827CF6"/>
    <w:rsid w:val="13D6488F"/>
    <w:rsid w:val="141B4103"/>
    <w:rsid w:val="142C5132"/>
    <w:rsid w:val="14540DC3"/>
    <w:rsid w:val="14807C6F"/>
    <w:rsid w:val="14A4342E"/>
    <w:rsid w:val="14B20F62"/>
    <w:rsid w:val="14B374B3"/>
    <w:rsid w:val="14E2359F"/>
    <w:rsid w:val="14E52E90"/>
    <w:rsid w:val="14E673E3"/>
    <w:rsid w:val="14EE3708"/>
    <w:rsid w:val="14F94435"/>
    <w:rsid w:val="14FC3E62"/>
    <w:rsid w:val="15001869"/>
    <w:rsid w:val="150D58C2"/>
    <w:rsid w:val="15150F8E"/>
    <w:rsid w:val="15405A59"/>
    <w:rsid w:val="15654025"/>
    <w:rsid w:val="156A4461"/>
    <w:rsid w:val="15713F09"/>
    <w:rsid w:val="15883064"/>
    <w:rsid w:val="15891E1F"/>
    <w:rsid w:val="15B023B2"/>
    <w:rsid w:val="15FC47F8"/>
    <w:rsid w:val="163D4BEC"/>
    <w:rsid w:val="167F0229"/>
    <w:rsid w:val="16874CD2"/>
    <w:rsid w:val="16A10611"/>
    <w:rsid w:val="16D86127"/>
    <w:rsid w:val="16FF1F5F"/>
    <w:rsid w:val="170D2FA7"/>
    <w:rsid w:val="171105FD"/>
    <w:rsid w:val="17262E7B"/>
    <w:rsid w:val="175560A0"/>
    <w:rsid w:val="176D4507"/>
    <w:rsid w:val="178B6DA9"/>
    <w:rsid w:val="17B02BDD"/>
    <w:rsid w:val="17C71255"/>
    <w:rsid w:val="17D906A7"/>
    <w:rsid w:val="1858094B"/>
    <w:rsid w:val="18770877"/>
    <w:rsid w:val="18FE48DC"/>
    <w:rsid w:val="19140263"/>
    <w:rsid w:val="193D72BC"/>
    <w:rsid w:val="19593AAE"/>
    <w:rsid w:val="19C416D2"/>
    <w:rsid w:val="19EA27F4"/>
    <w:rsid w:val="1A21096A"/>
    <w:rsid w:val="1A3F2F46"/>
    <w:rsid w:val="1A782C7D"/>
    <w:rsid w:val="1A7B3101"/>
    <w:rsid w:val="1A7D2104"/>
    <w:rsid w:val="1AD90016"/>
    <w:rsid w:val="1B076722"/>
    <w:rsid w:val="1B1219EE"/>
    <w:rsid w:val="1B1B44AA"/>
    <w:rsid w:val="1B552443"/>
    <w:rsid w:val="1BCE4406"/>
    <w:rsid w:val="1BE121C7"/>
    <w:rsid w:val="1BF20974"/>
    <w:rsid w:val="1C0046C7"/>
    <w:rsid w:val="1C5727A7"/>
    <w:rsid w:val="1C8B26D4"/>
    <w:rsid w:val="1CC63FAB"/>
    <w:rsid w:val="1D1E5F2F"/>
    <w:rsid w:val="1D3A3A88"/>
    <w:rsid w:val="1D443D68"/>
    <w:rsid w:val="1DCC6295"/>
    <w:rsid w:val="1E00120A"/>
    <w:rsid w:val="1E136ABA"/>
    <w:rsid w:val="1E63762B"/>
    <w:rsid w:val="1E720315"/>
    <w:rsid w:val="1E887FAF"/>
    <w:rsid w:val="1E9E2DAF"/>
    <w:rsid w:val="1ED814A3"/>
    <w:rsid w:val="1EFC1046"/>
    <w:rsid w:val="1F23766D"/>
    <w:rsid w:val="1F444A25"/>
    <w:rsid w:val="1FAA11BB"/>
    <w:rsid w:val="1FAC44AD"/>
    <w:rsid w:val="1FB268F4"/>
    <w:rsid w:val="1FB65BC1"/>
    <w:rsid w:val="1FD41CB0"/>
    <w:rsid w:val="1FD42C12"/>
    <w:rsid w:val="1FED7115"/>
    <w:rsid w:val="1FF4431A"/>
    <w:rsid w:val="202663BE"/>
    <w:rsid w:val="204E62F2"/>
    <w:rsid w:val="207359B7"/>
    <w:rsid w:val="2084111E"/>
    <w:rsid w:val="208E475F"/>
    <w:rsid w:val="20A063D5"/>
    <w:rsid w:val="20C30A4C"/>
    <w:rsid w:val="20FA2745"/>
    <w:rsid w:val="21C00EE6"/>
    <w:rsid w:val="220977FC"/>
    <w:rsid w:val="222C43D6"/>
    <w:rsid w:val="22574640"/>
    <w:rsid w:val="22880F40"/>
    <w:rsid w:val="228C1701"/>
    <w:rsid w:val="229252AE"/>
    <w:rsid w:val="22B029A8"/>
    <w:rsid w:val="22C524FC"/>
    <w:rsid w:val="22E556AE"/>
    <w:rsid w:val="23342C21"/>
    <w:rsid w:val="238E2FFA"/>
    <w:rsid w:val="239149C4"/>
    <w:rsid w:val="2392301A"/>
    <w:rsid w:val="23934292"/>
    <w:rsid w:val="23AB2709"/>
    <w:rsid w:val="23C94F06"/>
    <w:rsid w:val="240A758C"/>
    <w:rsid w:val="243D2FAF"/>
    <w:rsid w:val="24446AF3"/>
    <w:rsid w:val="245D3DF0"/>
    <w:rsid w:val="247D759F"/>
    <w:rsid w:val="249B096C"/>
    <w:rsid w:val="24C83591"/>
    <w:rsid w:val="24DD0934"/>
    <w:rsid w:val="24EB3D90"/>
    <w:rsid w:val="24EC6985"/>
    <w:rsid w:val="24F520FE"/>
    <w:rsid w:val="256623B6"/>
    <w:rsid w:val="25941449"/>
    <w:rsid w:val="25B107DD"/>
    <w:rsid w:val="25C51816"/>
    <w:rsid w:val="25DF5065"/>
    <w:rsid w:val="26125C69"/>
    <w:rsid w:val="262A6B36"/>
    <w:rsid w:val="264B01B9"/>
    <w:rsid w:val="265073FB"/>
    <w:rsid w:val="26561087"/>
    <w:rsid w:val="26807648"/>
    <w:rsid w:val="269D6531"/>
    <w:rsid w:val="26BD66A3"/>
    <w:rsid w:val="26BE7A55"/>
    <w:rsid w:val="26D157EE"/>
    <w:rsid w:val="26F9379C"/>
    <w:rsid w:val="272F4392"/>
    <w:rsid w:val="27933C55"/>
    <w:rsid w:val="27AA0593"/>
    <w:rsid w:val="27AA5AD0"/>
    <w:rsid w:val="27E217DA"/>
    <w:rsid w:val="284E2766"/>
    <w:rsid w:val="2859123B"/>
    <w:rsid w:val="285C3282"/>
    <w:rsid w:val="285F20E6"/>
    <w:rsid w:val="28762B6B"/>
    <w:rsid w:val="28796A79"/>
    <w:rsid w:val="293F4CB4"/>
    <w:rsid w:val="29475CCC"/>
    <w:rsid w:val="29B076C9"/>
    <w:rsid w:val="29B70092"/>
    <w:rsid w:val="29EA7B6F"/>
    <w:rsid w:val="2A1F3E3F"/>
    <w:rsid w:val="2A375741"/>
    <w:rsid w:val="2A545A11"/>
    <w:rsid w:val="2A5543BD"/>
    <w:rsid w:val="2A9F6AE3"/>
    <w:rsid w:val="2ABF26A6"/>
    <w:rsid w:val="2ADB2640"/>
    <w:rsid w:val="2B0D4F13"/>
    <w:rsid w:val="2B0E0FDF"/>
    <w:rsid w:val="2B376621"/>
    <w:rsid w:val="2BAF071D"/>
    <w:rsid w:val="2BB70152"/>
    <w:rsid w:val="2C1F7601"/>
    <w:rsid w:val="2C4C7EE7"/>
    <w:rsid w:val="2D58595A"/>
    <w:rsid w:val="2D5C599D"/>
    <w:rsid w:val="2D5E1D03"/>
    <w:rsid w:val="2D6B1194"/>
    <w:rsid w:val="2D7C3E83"/>
    <w:rsid w:val="2D817F39"/>
    <w:rsid w:val="2D945CD1"/>
    <w:rsid w:val="2D9E7E8D"/>
    <w:rsid w:val="2E56304E"/>
    <w:rsid w:val="2E662D45"/>
    <w:rsid w:val="2E8420D2"/>
    <w:rsid w:val="2EE4479F"/>
    <w:rsid w:val="2EF34D73"/>
    <w:rsid w:val="2EFD077F"/>
    <w:rsid w:val="2F143390"/>
    <w:rsid w:val="2F3A47AF"/>
    <w:rsid w:val="2F600FF8"/>
    <w:rsid w:val="2F735F9F"/>
    <w:rsid w:val="2F74503E"/>
    <w:rsid w:val="2F8E234C"/>
    <w:rsid w:val="2FEC2A78"/>
    <w:rsid w:val="2FFF583A"/>
    <w:rsid w:val="30133A4F"/>
    <w:rsid w:val="30144F0E"/>
    <w:rsid w:val="30497C8F"/>
    <w:rsid w:val="307A3C25"/>
    <w:rsid w:val="3085199B"/>
    <w:rsid w:val="30A0674D"/>
    <w:rsid w:val="30A635BF"/>
    <w:rsid w:val="30D62A3D"/>
    <w:rsid w:val="30DD76F7"/>
    <w:rsid w:val="30EB0336"/>
    <w:rsid w:val="30F44DF6"/>
    <w:rsid w:val="31550A37"/>
    <w:rsid w:val="31855FE3"/>
    <w:rsid w:val="31875459"/>
    <w:rsid w:val="321867E3"/>
    <w:rsid w:val="326F58AE"/>
    <w:rsid w:val="3283358E"/>
    <w:rsid w:val="32864191"/>
    <w:rsid w:val="32AD361B"/>
    <w:rsid w:val="32FC45FB"/>
    <w:rsid w:val="332C4911"/>
    <w:rsid w:val="335A0837"/>
    <w:rsid w:val="34372353"/>
    <w:rsid w:val="344E35A3"/>
    <w:rsid w:val="346625C1"/>
    <w:rsid w:val="3491445E"/>
    <w:rsid w:val="34A3254B"/>
    <w:rsid w:val="34BFE121"/>
    <w:rsid w:val="34F875CC"/>
    <w:rsid w:val="35116800"/>
    <w:rsid w:val="3513430B"/>
    <w:rsid w:val="35153781"/>
    <w:rsid w:val="35175728"/>
    <w:rsid w:val="351C0B63"/>
    <w:rsid w:val="35296A60"/>
    <w:rsid w:val="3566799A"/>
    <w:rsid w:val="358230CB"/>
    <w:rsid w:val="358853D5"/>
    <w:rsid w:val="35F040E3"/>
    <w:rsid w:val="362B7135"/>
    <w:rsid w:val="36804436"/>
    <w:rsid w:val="36877151"/>
    <w:rsid w:val="36884E1E"/>
    <w:rsid w:val="368A641B"/>
    <w:rsid w:val="36AD4DCE"/>
    <w:rsid w:val="36BB1268"/>
    <w:rsid w:val="36BB5A6C"/>
    <w:rsid w:val="36C9189F"/>
    <w:rsid w:val="36EA343A"/>
    <w:rsid w:val="370043E4"/>
    <w:rsid w:val="370A1069"/>
    <w:rsid w:val="3712701A"/>
    <w:rsid w:val="37CD4C6E"/>
    <w:rsid w:val="37EBB719"/>
    <w:rsid w:val="38016778"/>
    <w:rsid w:val="381408EB"/>
    <w:rsid w:val="3833535C"/>
    <w:rsid w:val="389F6E27"/>
    <w:rsid w:val="38A00193"/>
    <w:rsid w:val="38E65FD1"/>
    <w:rsid w:val="38E72460"/>
    <w:rsid w:val="38EA38CF"/>
    <w:rsid w:val="390E533B"/>
    <w:rsid w:val="39154E4D"/>
    <w:rsid w:val="396C4887"/>
    <w:rsid w:val="396C4E51"/>
    <w:rsid w:val="3A6B0400"/>
    <w:rsid w:val="3AA2148D"/>
    <w:rsid w:val="3AA47025"/>
    <w:rsid w:val="3AA668CE"/>
    <w:rsid w:val="3ACB6A75"/>
    <w:rsid w:val="3AEB428F"/>
    <w:rsid w:val="3AED540A"/>
    <w:rsid w:val="3AF10C34"/>
    <w:rsid w:val="3B2F26B3"/>
    <w:rsid w:val="3B785344"/>
    <w:rsid w:val="3B7A508E"/>
    <w:rsid w:val="3B907794"/>
    <w:rsid w:val="3B9D5CB7"/>
    <w:rsid w:val="3C047A4D"/>
    <w:rsid w:val="3C2019A2"/>
    <w:rsid w:val="3C273BF1"/>
    <w:rsid w:val="3C4304CC"/>
    <w:rsid w:val="3CAB46C4"/>
    <w:rsid w:val="3CCB65C9"/>
    <w:rsid w:val="3CD808BB"/>
    <w:rsid w:val="3CF32DA6"/>
    <w:rsid w:val="3D3E2487"/>
    <w:rsid w:val="3D4266B7"/>
    <w:rsid w:val="3DF84996"/>
    <w:rsid w:val="3E591D76"/>
    <w:rsid w:val="3E605E81"/>
    <w:rsid w:val="3E824570"/>
    <w:rsid w:val="3EB91C54"/>
    <w:rsid w:val="3F0E43F6"/>
    <w:rsid w:val="3F174B8D"/>
    <w:rsid w:val="3F471BD3"/>
    <w:rsid w:val="3F5B7984"/>
    <w:rsid w:val="3F7D474E"/>
    <w:rsid w:val="3F955545"/>
    <w:rsid w:val="3FA357F3"/>
    <w:rsid w:val="40077776"/>
    <w:rsid w:val="403E4DF4"/>
    <w:rsid w:val="40706EDA"/>
    <w:rsid w:val="4095649B"/>
    <w:rsid w:val="40E144A8"/>
    <w:rsid w:val="40E546E3"/>
    <w:rsid w:val="41681A61"/>
    <w:rsid w:val="418A7ACF"/>
    <w:rsid w:val="42261AEA"/>
    <w:rsid w:val="423846FB"/>
    <w:rsid w:val="42C14B2D"/>
    <w:rsid w:val="42CE64D1"/>
    <w:rsid w:val="42D96145"/>
    <w:rsid w:val="433249B7"/>
    <w:rsid w:val="43553CEE"/>
    <w:rsid w:val="43973072"/>
    <w:rsid w:val="43A90B02"/>
    <w:rsid w:val="43EE42EB"/>
    <w:rsid w:val="440D6DC5"/>
    <w:rsid w:val="44321DDC"/>
    <w:rsid w:val="444E7410"/>
    <w:rsid w:val="44AB012B"/>
    <w:rsid w:val="44DC5BC5"/>
    <w:rsid w:val="45385052"/>
    <w:rsid w:val="454663BA"/>
    <w:rsid w:val="456A5A4E"/>
    <w:rsid w:val="46151E35"/>
    <w:rsid w:val="461A62BE"/>
    <w:rsid w:val="46A24BF3"/>
    <w:rsid w:val="46B2446B"/>
    <w:rsid w:val="47022DDB"/>
    <w:rsid w:val="47442168"/>
    <w:rsid w:val="47836A9E"/>
    <w:rsid w:val="47A830E9"/>
    <w:rsid w:val="47AD71EA"/>
    <w:rsid w:val="47B002CC"/>
    <w:rsid w:val="47F969E0"/>
    <w:rsid w:val="47FE2DC8"/>
    <w:rsid w:val="48051F72"/>
    <w:rsid w:val="483B75F5"/>
    <w:rsid w:val="48405137"/>
    <w:rsid w:val="486935DF"/>
    <w:rsid w:val="48827AC9"/>
    <w:rsid w:val="48995125"/>
    <w:rsid w:val="489A1D74"/>
    <w:rsid w:val="48D7696C"/>
    <w:rsid w:val="49012787"/>
    <w:rsid w:val="49480C6D"/>
    <w:rsid w:val="494E3556"/>
    <w:rsid w:val="495B0719"/>
    <w:rsid w:val="495B3F49"/>
    <w:rsid w:val="4969674D"/>
    <w:rsid w:val="498A4DA4"/>
    <w:rsid w:val="49A719E3"/>
    <w:rsid w:val="49AA500E"/>
    <w:rsid w:val="49D71A46"/>
    <w:rsid w:val="49E7523B"/>
    <w:rsid w:val="49F142C0"/>
    <w:rsid w:val="4A2731B9"/>
    <w:rsid w:val="4A3D25E4"/>
    <w:rsid w:val="4A464596"/>
    <w:rsid w:val="4A595D63"/>
    <w:rsid w:val="4A5C72CE"/>
    <w:rsid w:val="4A805F59"/>
    <w:rsid w:val="4AD77FC1"/>
    <w:rsid w:val="4AE9635E"/>
    <w:rsid w:val="4B0473F3"/>
    <w:rsid w:val="4B0A0FF6"/>
    <w:rsid w:val="4B16495E"/>
    <w:rsid w:val="4B246818"/>
    <w:rsid w:val="4B566147"/>
    <w:rsid w:val="4B8E21EA"/>
    <w:rsid w:val="4BE25FEA"/>
    <w:rsid w:val="4C2822E5"/>
    <w:rsid w:val="4C4570E4"/>
    <w:rsid w:val="4C502B25"/>
    <w:rsid w:val="4CF033DB"/>
    <w:rsid w:val="4D075ED9"/>
    <w:rsid w:val="4D0C45EE"/>
    <w:rsid w:val="4D242F4B"/>
    <w:rsid w:val="4D377719"/>
    <w:rsid w:val="4D3936F8"/>
    <w:rsid w:val="4D4C72BE"/>
    <w:rsid w:val="4D627304"/>
    <w:rsid w:val="4D6E2E96"/>
    <w:rsid w:val="4D712428"/>
    <w:rsid w:val="4D967E17"/>
    <w:rsid w:val="4D9B6C35"/>
    <w:rsid w:val="4DC12333"/>
    <w:rsid w:val="4DD97D0D"/>
    <w:rsid w:val="4DFE698F"/>
    <w:rsid w:val="4E3E40A8"/>
    <w:rsid w:val="4E471B61"/>
    <w:rsid w:val="4E541EE1"/>
    <w:rsid w:val="4E5A5328"/>
    <w:rsid w:val="4E645634"/>
    <w:rsid w:val="4E80548D"/>
    <w:rsid w:val="4EC129B5"/>
    <w:rsid w:val="4EC26E59"/>
    <w:rsid w:val="4EC65EE1"/>
    <w:rsid w:val="4ED2343A"/>
    <w:rsid w:val="4EEF30D5"/>
    <w:rsid w:val="4EFA7C18"/>
    <w:rsid w:val="4F3A6504"/>
    <w:rsid w:val="4F4F1AE8"/>
    <w:rsid w:val="4F571ADC"/>
    <w:rsid w:val="4F69145A"/>
    <w:rsid w:val="504657B7"/>
    <w:rsid w:val="5065474B"/>
    <w:rsid w:val="50742134"/>
    <w:rsid w:val="50802E52"/>
    <w:rsid w:val="50A15C98"/>
    <w:rsid w:val="50BB7C3B"/>
    <w:rsid w:val="50D80148"/>
    <w:rsid w:val="50D97540"/>
    <w:rsid w:val="510E2F16"/>
    <w:rsid w:val="514C1CF2"/>
    <w:rsid w:val="51675CFD"/>
    <w:rsid w:val="51721B6A"/>
    <w:rsid w:val="517E2732"/>
    <w:rsid w:val="519722B6"/>
    <w:rsid w:val="51B20D1A"/>
    <w:rsid w:val="51CE0C3A"/>
    <w:rsid w:val="51D6733E"/>
    <w:rsid w:val="51ED059B"/>
    <w:rsid w:val="51ED4A75"/>
    <w:rsid w:val="52092A17"/>
    <w:rsid w:val="52277002"/>
    <w:rsid w:val="5262016B"/>
    <w:rsid w:val="52810FF5"/>
    <w:rsid w:val="52871A9A"/>
    <w:rsid w:val="529403BD"/>
    <w:rsid w:val="529E5F38"/>
    <w:rsid w:val="52BB0923"/>
    <w:rsid w:val="53224EA3"/>
    <w:rsid w:val="539831A9"/>
    <w:rsid w:val="53DE6F9E"/>
    <w:rsid w:val="5415298C"/>
    <w:rsid w:val="54582C38"/>
    <w:rsid w:val="546E4A20"/>
    <w:rsid w:val="5470751C"/>
    <w:rsid w:val="54832C69"/>
    <w:rsid w:val="548B55CB"/>
    <w:rsid w:val="548D7904"/>
    <w:rsid w:val="54CC39CA"/>
    <w:rsid w:val="54E26BCC"/>
    <w:rsid w:val="54E4164D"/>
    <w:rsid w:val="54E87AB4"/>
    <w:rsid w:val="54F35C46"/>
    <w:rsid w:val="55357BB9"/>
    <w:rsid w:val="554C6319"/>
    <w:rsid w:val="555176CB"/>
    <w:rsid w:val="55534617"/>
    <w:rsid w:val="556909CD"/>
    <w:rsid w:val="556A04C9"/>
    <w:rsid w:val="55813D78"/>
    <w:rsid w:val="55FE4629"/>
    <w:rsid w:val="56036878"/>
    <w:rsid w:val="56551A8D"/>
    <w:rsid w:val="568C09EF"/>
    <w:rsid w:val="56AD4093"/>
    <w:rsid w:val="56BB4820"/>
    <w:rsid w:val="56EF268E"/>
    <w:rsid w:val="56F01B3B"/>
    <w:rsid w:val="57085DBA"/>
    <w:rsid w:val="570E1164"/>
    <w:rsid w:val="571E5858"/>
    <w:rsid w:val="57445B36"/>
    <w:rsid w:val="5778221E"/>
    <w:rsid w:val="5794324D"/>
    <w:rsid w:val="579D4ADA"/>
    <w:rsid w:val="57DA2C65"/>
    <w:rsid w:val="58222DAA"/>
    <w:rsid w:val="582355D2"/>
    <w:rsid w:val="582510A5"/>
    <w:rsid w:val="582F1BBA"/>
    <w:rsid w:val="58303485"/>
    <w:rsid w:val="58627049"/>
    <w:rsid w:val="58707D57"/>
    <w:rsid w:val="58780D65"/>
    <w:rsid w:val="58830882"/>
    <w:rsid w:val="589149EA"/>
    <w:rsid w:val="58AE2C4C"/>
    <w:rsid w:val="58C47A58"/>
    <w:rsid w:val="58D043CB"/>
    <w:rsid w:val="58DC16DE"/>
    <w:rsid w:val="5920283F"/>
    <w:rsid w:val="59224BD1"/>
    <w:rsid w:val="595E15B3"/>
    <w:rsid w:val="59B1463B"/>
    <w:rsid w:val="59B623EA"/>
    <w:rsid w:val="59C67D2F"/>
    <w:rsid w:val="59FD5183"/>
    <w:rsid w:val="5A00458D"/>
    <w:rsid w:val="5A2D5702"/>
    <w:rsid w:val="5A541B95"/>
    <w:rsid w:val="5A7B1668"/>
    <w:rsid w:val="5A81599A"/>
    <w:rsid w:val="5AAE1C2E"/>
    <w:rsid w:val="5ADD0BBC"/>
    <w:rsid w:val="5AE74324"/>
    <w:rsid w:val="5AFE4CA4"/>
    <w:rsid w:val="5B0A49BC"/>
    <w:rsid w:val="5B2E4E4D"/>
    <w:rsid w:val="5B754B33"/>
    <w:rsid w:val="5B943248"/>
    <w:rsid w:val="5BB86ADC"/>
    <w:rsid w:val="5BCB8333"/>
    <w:rsid w:val="5C0422A3"/>
    <w:rsid w:val="5C07200B"/>
    <w:rsid w:val="5C4223E4"/>
    <w:rsid w:val="5C4B1008"/>
    <w:rsid w:val="5C610AD4"/>
    <w:rsid w:val="5C6F48FB"/>
    <w:rsid w:val="5CA4191E"/>
    <w:rsid w:val="5CA802DB"/>
    <w:rsid w:val="5CC502E5"/>
    <w:rsid w:val="5CCB00BD"/>
    <w:rsid w:val="5CE4566E"/>
    <w:rsid w:val="5D225402"/>
    <w:rsid w:val="5D2D1418"/>
    <w:rsid w:val="5D2D7D85"/>
    <w:rsid w:val="5D5749B9"/>
    <w:rsid w:val="5D7D40A1"/>
    <w:rsid w:val="5DA2696B"/>
    <w:rsid w:val="5DC051F4"/>
    <w:rsid w:val="5E8A668C"/>
    <w:rsid w:val="5F193BDF"/>
    <w:rsid w:val="5F4C3565"/>
    <w:rsid w:val="5F7217E8"/>
    <w:rsid w:val="5FA32D61"/>
    <w:rsid w:val="5FBB0081"/>
    <w:rsid w:val="5FDE4B59"/>
    <w:rsid w:val="5FEC2F04"/>
    <w:rsid w:val="603720E4"/>
    <w:rsid w:val="60966AC1"/>
    <w:rsid w:val="60A3587F"/>
    <w:rsid w:val="60A712FF"/>
    <w:rsid w:val="60AC42D2"/>
    <w:rsid w:val="60B0301E"/>
    <w:rsid w:val="60B85665"/>
    <w:rsid w:val="60C03FD1"/>
    <w:rsid w:val="60C2464D"/>
    <w:rsid w:val="60D92284"/>
    <w:rsid w:val="61881DAE"/>
    <w:rsid w:val="61A33A10"/>
    <w:rsid w:val="61B3789B"/>
    <w:rsid w:val="61CA7176"/>
    <w:rsid w:val="61E71857"/>
    <w:rsid w:val="61F432D9"/>
    <w:rsid w:val="622C69C9"/>
    <w:rsid w:val="622E62E6"/>
    <w:rsid w:val="62783BC5"/>
    <w:rsid w:val="627B5987"/>
    <w:rsid w:val="63040565"/>
    <w:rsid w:val="63374DF9"/>
    <w:rsid w:val="633F113D"/>
    <w:rsid w:val="63404389"/>
    <w:rsid w:val="63585B6E"/>
    <w:rsid w:val="638D4BC4"/>
    <w:rsid w:val="63A12A3F"/>
    <w:rsid w:val="63AC026C"/>
    <w:rsid w:val="63AF6B36"/>
    <w:rsid w:val="63B4764E"/>
    <w:rsid w:val="63B82EF4"/>
    <w:rsid w:val="63D62EB5"/>
    <w:rsid w:val="63DC1BF9"/>
    <w:rsid w:val="63F53BA5"/>
    <w:rsid w:val="64353446"/>
    <w:rsid w:val="64876C57"/>
    <w:rsid w:val="64940B7E"/>
    <w:rsid w:val="64CE09BD"/>
    <w:rsid w:val="64E774EF"/>
    <w:rsid w:val="65006E26"/>
    <w:rsid w:val="653B5209"/>
    <w:rsid w:val="654B02AF"/>
    <w:rsid w:val="65763443"/>
    <w:rsid w:val="658F7645"/>
    <w:rsid w:val="659357AC"/>
    <w:rsid w:val="65AC65DD"/>
    <w:rsid w:val="65BA237C"/>
    <w:rsid w:val="65D33D31"/>
    <w:rsid w:val="65E1734D"/>
    <w:rsid w:val="65EC34D9"/>
    <w:rsid w:val="661E50E3"/>
    <w:rsid w:val="662A2259"/>
    <w:rsid w:val="66820745"/>
    <w:rsid w:val="6686556F"/>
    <w:rsid w:val="66AE0F59"/>
    <w:rsid w:val="66B224C1"/>
    <w:rsid w:val="66C35CAB"/>
    <w:rsid w:val="66D56EC9"/>
    <w:rsid w:val="672A076C"/>
    <w:rsid w:val="673543FD"/>
    <w:rsid w:val="6747764D"/>
    <w:rsid w:val="67540EDD"/>
    <w:rsid w:val="676F316C"/>
    <w:rsid w:val="677A06AC"/>
    <w:rsid w:val="67E13405"/>
    <w:rsid w:val="67EA7E0B"/>
    <w:rsid w:val="67F741D9"/>
    <w:rsid w:val="68215CB5"/>
    <w:rsid w:val="6828657C"/>
    <w:rsid w:val="682E12EA"/>
    <w:rsid w:val="683E6132"/>
    <w:rsid w:val="685548CB"/>
    <w:rsid w:val="686838B5"/>
    <w:rsid w:val="68D24D88"/>
    <w:rsid w:val="68D979E8"/>
    <w:rsid w:val="6965779C"/>
    <w:rsid w:val="69784F1E"/>
    <w:rsid w:val="697A2F23"/>
    <w:rsid w:val="698D7670"/>
    <w:rsid w:val="698F7CDB"/>
    <w:rsid w:val="6A592DAD"/>
    <w:rsid w:val="6A5C712F"/>
    <w:rsid w:val="6A893F40"/>
    <w:rsid w:val="6AB00C2A"/>
    <w:rsid w:val="6AB038E6"/>
    <w:rsid w:val="6B2D6CB6"/>
    <w:rsid w:val="6B9A6BC4"/>
    <w:rsid w:val="6BBA5F26"/>
    <w:rsid w:val="6C240898"/>
    <w:rsid w:val="6C3E7FEA"/>
    <w:rsid w:val="6C4C0B03"/>
    <w:rsid w:val="6C914A55"/>
    <w:rsid w:val="6CA02020"/>
    <w:rsid w:val="6CC15BA5"/>
    <w:rsid w:val="6CFC3382"/>
    <w:rsid w:val="6D196D61"/>
    <w:rsid w:val="6D59572B"/>
    <w:rsid w:val="6D8105F7"/>
    <w:rsid w:val="6D853817"/>
    <w:rsid w:val="6D953FF8"/>
    <w:rsid w:val="6DB91D08"/>
    <w:rsid w:val="6DC74014"/>
    <w:rsid w:val="6E156C6C"/>
    <w:rsid w:val="6EE270E3"/>
    <w:rsid w:val="6F054CFE"/>
    <w:rsid w:val="6F340B5E"/>
    <w:rsid w:val="6F633E26"/>
    <w:rsid w:val="6FD3374F"/>
    <w:rsid w:val="700508C8"/>
    <w:rsid w:val="700E46C1"/>
    <w:rsid w:val="70294335"/>
    <w:rsid w:val="703D085C"/>
    <w:rsid w:val="70561A2C"/>
    <w:rsid w:val="7062129C"/>
    <w:rsid w:val="713A57D8"/>
    <w:rsid w:val="713A5D1A"/>
    <w:rsid w:val="71422D4F"/>
    <w:rsid w:val="715B72D2"/>
    <w:rsid w:val="7179200C"/>
    <w:rsid w:val="71933043"/>
    <w:rsid w:val="71995A3E"/>
    <w:rsid w:val="71BC7828"/>
    <w:rsid w:val="71CB5182"/>
    <w:rsid w:val="71E2468A"/>
    <w:rsid w:val="722C7450"/>
    <w:rsid w:val="724E4E5E"/>
    <w:rsid w:val="724E51F0"/>
    <w:rsid w:val="72913E3F"/>
    <w:rsid w:val="729F39F9"/>
    <w:rsid w:val="72A41937"/>
    <w:rsid w:val="733010F3"/>
    <w:rsid w:val="733817AF"/>
    <w:rsid w:val="73390E6D"/>
    <w:rsid w:val="73861D48"/>
    <w:rsid w:val="738D0023"/>
    <w:rsid w:val="73C75F1A"/>
    <w:rsid w:val="73D369B6"/>
    <w:rsid w:val="73DC02F4"/>
    <w:rsid w:val="73F92F28"/>
    <w:rsid w:val="74155A24"/>
    <w:rsid w:val="74377B35"/>
    <w:rsid w:val="743D7834"/>
    <w:rsid w:val="745626AF"/>
    <w:rsid w:val="749B05D2"/>
    <w:rsid w:val="74A63ABD"/>
    <w:rsid w:val="74AD0969"/>
    <w:rsid w:val="74B82226"/>
    <w:rsid w:val="74BF5F41"/>
    <w:rsid w:val="74C013CD"/>
    <w:rsid w:val="74D54382"/>
    <w:rsid w:val="75635FA7"/>
    <w:rsid w:val="75681AE5"/>
    <w:rsid w:val="757220FB"/>
    <w:rsid w:val="7573613B"/>
    <w:rsid w:val="75893460"/>
    <w:rsid w:val="7592573D"/>
    <w:rsid w:val="75B03164"/>
    <w:rsid w:val="75C85834"/>
    <w:rsid w:val="75DC2928"/>
    <w:rsid w:val="760169BF"/>
    <w:rsid w:val="765B4ACC"/>
    <w:rsid w:val="769743D0"/>
    <w:rsid w:val="769A41A6"/>
    <w:rsid w:val="76D17F0F"/>
    <w:rsid w:val="76D85229"/>
    <w:rsid w:val="76DE2505"/>
    <w:rsid w:val="76FE55F8"/>
    <w:rsid w:val="7731665B"/>
    <w:rsid w:val="77452962"/>
    <w:rsid w:val="77505D1D"/>
    <w:rsid w:val="775670B3"/>
    <w:rsid w:val="778F7727"/>
    <w:rsid w:val="77A13371"/>
    <w:rsid w:val="77B360C9"/>
    <w:rsid w:val="77CB6C61"/>
    <w:rsid w:val="77D85166"/>
    <w:rsid w:val="77F67B0E"/>
    <w:rsid w:val="78291C65"/>
    <w:rsid w:val="784C7D5A"/>
    <w:rsid w:val="785143C0"/>
    <w:rsid w:val="785377E3"/>
    <w:rsid w:val="787B67C3"/>
    <w:rsid w:val="78823697"/>
    <w:rsid w:val="788E574F"/>
    <w:rsid w:val="78AC755E"/>
    <w:rsid w:val="78EF4FDF"/>
    <w:rsid w:val="7903460C"/>
    <w:rsid w:val="79154130"/>
    <w:rsid w:val="79475A25"/>
    <w:rsid w:val="799055CE"/>
    <w:rsid w:val="79954F63"/>
    <w:rsid w:val="79982B0D"/>
    <w:rsid w:val="79B33306"/>
    <w:rsid w:val="79B675D2"/>
    <w:rsid w:val="79F65828"/>
    <w:rsid w:val="7A2F539B"/>
    <w:rsid w:val="7A56277B"/>
    <w:rsid w:val="7A84293C"/>
    <w:rsid w:val="7A8C7299"/>
    <w:rsid w:val="7AA66E34"/>
    <w:rsid w:val="7AB4718A"/>
    <w:rsid w:val="7AC42748"/>
    <w:rsid w:val="7AC57243"/>
    <w:rsid w:val="7B3E12A2"/>
    <w:rsid w:val="7B405B75"/>
    <w:rsid w:val="7B88263A"/>
    <w:rsid w:val="7BFD5C63"/>
    <w:rsid w:val="7C081B98"/>
    <w:rsid w:val="7C1D23C2"/>
    <w:rsid w:val="7C354AF0"/>
    <w:rsid w:val="7C82578E"/>
    <w:rsid w:val="7CE7391F"/>
    <w:rsid w:val="7CEB7A81"/>
    <w:rsid w:val="7CF453F1"/>
    <w:rsid w:val="7D067FF8"/>
    <w:rsid w:val="7D2D76AE"/>
    <w:rsid w:val="7D5A05B4"/>
    <w:rsid w:val="7D6336A7"/>
    <w:rsid w:val="7D9D5634"/>
    <w:rsid w:val="7DF14E69"/>
    <w:rsid w:val="7DF31B2E"/>
    <w:rsid w:val="7E1A21DD"/>
    <w:rsid w:val="7E2B1CAA"/>
    <w:rsid w:val="7E603A27"/>
    <w:rsid w:val="7E7F33F7"/>
    <w:rsid w:val="7EB4523A"/>
    <w:rsid w:val="7EBF212C"/>
    <w:rsid w:val="7EDC4DB4"/>
    <w:rsid w:val="7EE54ACB"/>
    <w:rsid w:val="7F4F3691"/>
    <w:rsid w:val="7F892F96"/>
    <w:rsid w:val="7F96496A"/>
    <w:rsid w:val="7FC33159"/>
    <w:rsid w:val="7FF079C6"/>
    <w:rsid w:val="BAF73435"/>
    <w:rsid w:val="D97F1746"/>
    <w:rsid w:val="F57B6A63"/>
    <w:rsid w:val="F5F92E74"/>
    <w:rsid w:val="FAB73F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99"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qFormat/>
    <w:uiPriority w:val="99"/>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
    <w:basedOn w:val="4"/>
    <w:next w:val="2"/>
    <w:qFormat/>
    <w:uiPriority w:val="0"/>
    <w:rPr>
      <w:rFonts w:ascii="Calibri" w:hAnsi="Calibri" w:eastAsia="宋体" w:cs="黑体"/>
      <w:sz w:val="21"/>
      <w:szCs w:val="24"/>
    </w:rPr>
  </w:style>
  <w:style w:type="paragraph" w:customStyle="1" w:styleId="4">
    <w:name w:val="正文 New"/>
    <w:next w:val="5"/>
    <w:qFormat/>
    <w:uiPriority w:val="0"/>
    <w:pPr>
      <w:widowControl w:val="0"/>
      <w:spacing w:line="480" w:lineRule="exact"/>
      <w:jc w:val="both"/>
    </w:pPr>
    <w:rPr>
      <w:rFonts w:ascii="Times New Roman" w:hAnsi="Times New Roman" w:eastAsia="华文楷体" w:cs="Times New Roman"/>
      <w:kern w:val="2"/>
      <w:sz w:val="24"/>
      <w:szCs w:val="22"/>
      <w:lang w:val="en-US" w:eastAsia="zh-CN" w:bidi="ar-SA"/>
    </w:rPr>
  </w:style>
  <w:style w:type="paragraph" w:customStyle="1" w:styleId="5">
    <w:name w:val="图表目录2"/>
    <w:basedOn w:val="6"/>
    <w:next w:val="6"/>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qFormat/>
    <w:uiPriority w:val="0"/>
    <w:pPr>
      <w:widowControl w:val="0"/>
      <w:jc w:val="both"/>
    </w:pPr>
    <w:rPr>
      <w:rFonts w:ascii="Calibri" w:hAnsi="Calibri" w:eastAsia="宋体" w:cs="黑体"/>
      <w:kern w:val="2"/>
      <w:sz w:val="21"/>
      <w:szCs w:val="24"/>
      <w:lang w:val="en-US" w:eastAsia="zh-CN" w:bidi="ar-SA"/>
    </w:rPr>
  </w:style>
  <w:style w:type="paragraph" w:styleId="7">
    <w:name w:val="annotation text"/>
    <w:basedOn w:val="1"/>
    <w:semiHidden/>
    <w:unhideWhenUsed/>
    <w:qFormat/>
    <w:uiPriority w:val="99"/>
    <w:pPr>
      <w:jc w:val="left"/>
    </w:pPr>
  </w:style>
  <w:style w:type="paragraph" w:styleId="8">
    <w:name w:val="Body Text"/>
    <w:basedOn w:val="1"/>
    <w:qFormat/>
    <w:uiPriority w:val="0"/>
    <w:pPr>
      <w:spacing w:after="120"/>
    </w:pPr>
  </w:style>
  <w:style w:type="paragraph" w:styleId="9">
    <w:name w:val="endnote text"/>
    <w:basedOn w:val="1"/>
    <w:unhideWhenUsed/>
    <w:qFormat/>
    <w:uiPriority w:val="99"/>
    <w:pPr>
      <w:snapToGrid w:val="0"/>
      <w:jc w:val="left"/>
    </w:p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unhideWhenUsed/>
    <w:qFormat/>
    <w:uiPriority w:val="99"/>
    <w:pPr>
      <w:snapToGrid w:val="0"/>
      <w:jc w:val="left"/>
    </w:pPr>
    <w:rPr>
      <w:sz w:val="18"/>
    </w:rPr>
  </w:style>
  <w:style w:type="character" w:styleId="15">
    <w:name w:val="endnote reference"/>
    <w:basedOn w:val="14"/>
    <w:unhideWhenUsed/>
    <w:qFormat/>
    <w:uiPriority w:val="99"/>
    <w:rPr>
      <w:vertAlign w:val="superscript"/>
    </w:rPr>
  </w:style>
  <w:style w:type="character" w:styleId="16">
    <w:name w:val="page number"/>
    <w:basedOn w:val="14"/>
    <w:qFormat/>
    <w:uiPriority w:val="99"/>
    <w:rPr>
      <w:rFonts w:cs="Times New Roman"/>
    </w:rPr>
  </w:style>
  <w:style w:type="character" w:styleId="17">
    <w:name w:val="FollowedHyperlink"/>
    <w:basedOn w:val="14"/>
    <w:unhideWhenUsed/>
    <w:qFormat/>
    <w:uiPriority w:val="99"/>
    <w:rPr>
      <w:color w:val="800080"/>
      <w:u w:val="none"/>
    </w:rPr>
  </w:style>
  <w:style w:type="character" w:styleId="18">
    <w:name w:val="Hyperlink"/>
    <w:basedOn w:val="14"/>
    <w:unhideWhenUsed/>
    <w:qFormat/>
    <w:uiPriority w:val="99"/>
    <w:rPr>
      <w:color w:val="0000FF"/>
      <w:u w:val="none"/>
    </w:rPr>
  </w:style>
  <w:style w:type="character" w:styleId="19">
    <w:name w:val="footnote reference"/>
    <w:basedOn w:val="14"/>
    <w:unhideWhenUsed/>
    <w:qFormat/>
    <w:uiPriority w:val="99"/>
    <w:rPr>
      <w:vertAlign w:val="superscript"/>
    </w:rPr>
  </w:style>
  <w:style w:type="character" w:customStyle="1" w:styleId="20">
    <w:name w:val=" Char Char"/>
    <w:basedOn w:val="14"/>
    <w:link w:val="10"/>
    <w:semiHidden/>
    <w:qFormat/>
    <w:locked/>
    <w:uiPriority w:val="99"/>
    <w:rPr>
      <w:rFonts w:ascii="Calibri" w:hAnsi="Calibri" w:cs="Times New Roman"/>
      <w:sz w:val="18"/>
      <w:szCs w:val="18"/>
    </w:rPr>
  </w:style>
  <w:style w:type="character" w:customStyle="1" w:styleId="21">
    <w:name w:val=" Char Char1"/>
    <w:basedOn w:val="14"/>
    <w:link w:val="11"/>
    <w:semiHidden/>
    <w:qFormat/>
    <w:locked/>
    <w:uiPriority w:val="99"/>
    <w:rPr>
      <w:rFonts w:ascii="Calibri" w:hAnsi="Calibri" w:cs="Times New Roman"/>
      <w:sz w:val="18"/>
      <w:szCs w:val="18"/>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5"/>
    <w:qFormat/>
    <w:uiPriority w:val="0"/>
    <w:pPr>
      <w:widowControl w:val="0"/>
      <w:jc w:val="both"/>
    </w:pPr>
    <w:rPr>
      <w:rFonts w:ascii="Calibri" w:hAnsi="Calibri" w:eastAsia="宋体" w:cs="黑体"/>
      <w:kern w:val="2"/>
      <w:sz w:val="21"/>
      <w:szCs w:val="24"/>
      <w:lang w:val="en-US" w:eastAsia="zh-CN" w:bidi="ar-SA"/>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ascii="Calibri" w:hAnsi="Calibri" w:eastAsia="宋体" w:cs="黑体"/>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emf"/><Relationship Id="rId17" Type="http://schemas.openxmlformats.org/officeDocument/2006/relationships/image" Target="media/image10.emf"/><Relationship Id="rId16" Type="http://schemas.openxmlformats.org/officeDocument/2006/relationships/image" Target="media/image9.emf"/><Relationship Id="rId15" Type="http://schemas.openxmlformats.org/officeDocument/2006/relationships/image" Target="media/image8.emf"/><Relationship Id="rId14" Type="http://schemas.openxmlformats.org/officeDocument/2006/relationships/image" Target="media/image7.emf"/><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1593</Words>
  <Characters>9082</Characters>
  <Lines>75</Lines>
  <Paragraphs>21</Paragraphs>
  <TotalTime>2787</TotalTime>
  <ScaleCrop>false</ScaleCrop>
  <LinksUpToDate>false</LinksUpToDate>
  <CharactersWithSpaces>10654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2021-03-07T02:01:00Z</dcterms:created>
  <dc:creator>PC</dc:creator>
  <cp:lastModifiedBy>GBB</cp:lastModifiedBy>
  <cp:lastPrinted>2022-03-22T02:50:00Z</cp:lastPrinted>
  <dcterms:modified xsi:type="dcterms:W3CDTF">2022-03-25T01:08:07Z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C4B5BD4F19F948CF9C6D029DC6ECFFA3</vt:lpwstr>
  </property>
</Properties>
</file>