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pStyle w:val="2"/>
        <w:rPr>
          <w:rFonts w:hint="eastAsia"/>
          <w:lang w:eastAsia="zh-CN"/>
        </w:rPr>
      </w:pPr>
    </w:p>
    <w:p>
      <w:pPr>
        <w:keepNext w:val="0"/>
        <w:keepLines w:val="0"/>
        <w:pageBreakBefore w:val="0"/>
        <w:widowControl w:val="0"/>
        <w:kinsoku/>
        <w:wordWrap/>
        <w:overflowPunct w:val="0"/>
        <w:topLinePunct w:val="0"/>
        <w:autoSpaceDE/>
        <w:autoSpaceDN/>
        <w:bidi w:val="0"/>
        <w:adjustRightInd/>
        <w:snapToGrid/>
        <w:spacing w:line="640" w:lineRule="exact"/>
        <w:ind w:left="0" w:leftChars="0"/>
        <w:jc w:val="center"/>
        <w:textAlignment w:val="auto"/>
        <w:rPr>
          <w:rFonts w:hint="default" w:ascii="Times New Roman" w:hAnsi="Times New Roman" w:eastAsia="方正小标宋简体" w:cs="Times New Roman"/>
          <w:bCs/>
          <w:kern w:val="0"/>
          <w:sz w:val="52"/>
          <w:szCs w:val="52"/>
        </w:rPr>
      </w:pPr>
      <w:r>
        <w:rPr>
          <w:rFonts w:hint="default" w:ascii="Times New Roman" w:hAnsi="Times New Roman" w:eastAsia="方正小标宋简体" w:cs="Times New Roman"/>
          <w:bCs/>
          <w:kern w:val="0"/>
          <w:sz w:val="52"/>
          <w:szCs w:val="52"/>
        </w:rPr>
        <w:t>云南省2023年国民经济和</w:t>
      </w:r>
    </w:p>
    <w:p>
      <w:pPr>
        <w:keepNext w:val="0"/>
        <w:keepLines w:val="0"/>
        <w:pageBreakBefore w:val="0"/>
        <w:widowControl w:val="0"/>
        <w:kinsoku/>
        <w:wordWrap/>
        <w:overflowPunct w:val="0"/>
        <w:topLinePunct w:val="0"/>
        <w:autoSpaceDE/>
        <w:autoSpaceDN/>
        <w:bidi w:val="0"/>
        <w:adjustRightInd/>
        <w:snapToGrid/>
        <w:spacing w:line="640" w:lineRule="exact"/>
        <w:ind w:left="0" w:leftChars="0"/>
        <w:jc w:val="center"/>
        <w:textAlignment w:val="auto"/>
        <w:rPr>
          <w:rStyle w:val="14"/>
          <w:rFonts w:hint="default" w:ascii="Times New Roman" w:hAnsi="Times New Roman" w:eastAsia="方正小标宋简体" w:cs="Times New Roman"/>
          <w:bCs/>
          <w:kern w:val="0"/>
          <w:sz w:val="52"/>
          <w:szCs w:val="52"/>
        </w:rPr>
      </w:pPr>
      <w:r>
        <w:rPr>
          <w:rFonts w:hint="default" w:ascii="Times New Roman" w:hAnsi="Times New Roman" w:eastAsia="方正小标宋简体" w:cs="Times New Roman"/>
          <w:bCs/>
          <w:kern w:val="0"/>
          <w:sz w:val="52"/>
          <w:szCs w:val="52"/>
        </w:rPr>
        <w:t>社会发展统计公报</w:t>
      </w:r>
      <w:r>
        <w:rPr>
          <w:rStyle w:val="14"/>
          <w:rFonts w:hint="default" w:ascii="Times New Roman" w:hAnsi="Times New Roman" w:eastAsia="方正小标宋简体" w:cs="Times New Roman"/>
          <w:bCs/>
          <w:kern w:val="0"/>
          <w:sz w:val="52"/>
          <w:szCs w:val="52"/>
        </w:rPr>
        <w:t>[</w:t>
      </w:r>
      <w:r>
        <w:rPr>
          <w:rStyle w:val="14"/>
          <w:rFonts w:hint="default" w:ascii="Times New Roman" w:hAnsi="Times New Roman" w:eastAsia="方正小标宋简体" w:cs="Times New Roman"/>
          <w:bCs/>
          <w:kern w:val="0"/>
          <w:sz w:val="52"/>
          <w:szCs w:val="52"/>
        </w:rPr>
        <w:endnoteReference w:id="0"/>
      </w:r>
      <w:r>
        <w:rPr>
          <w:rStyle w:val="14"/>
          <w:rFonts w:hint="default" w:ascii="Times New Roman" w:hAnsi="Times New Roman" w:eastAsia="方正小标宋简体" w:cs="Times New Roman"/>
          <w:bCs/>
          <w:kern w:val="0"/>
          <w:sz w:val="52"/>
          <w:szCs w:val="5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方正楷体简体" w:cs="Times New Roman"/>
          <w:bCs/>
          <w:kern w:val="0"/>
          <w:sz w:val="32"/>
          <w:szCs w:val="32"/>
        </w:rPr>
      </w:pPr>
      <w:r>
        <w:rPr>
          <w:rFonts w:hint="default" w:ascii="Times New Roman" w:hAnsi="Times New Roman" w:eastAsia="方正楷体简体" w:cs="Times New Roman"/>
          <w:bCs/>
          <w:kern w:val="0"/>
          <w:sz w:val="32"/>
          <w:szCs w:val="32"/>
        </w:rPr>
        <w:t>云  南  省  统  计  局</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方正楷体简体" w:cs="Times New Roman"/>
          <w:bCs/>
          <w:kern w:val="0"/>
          <w:sz w:val="32"/>
          <w:szCs w:val="32"/>
          <w:vertAlign w:val="superscript"/>
        </w:rPr>
      </w:pPr>
      <w:r>
        <w:rPr>
          <w:rFonts w:hint="default" w:ascii="Times New Roman" w:hAnsi="Times New Roman" w:eastAsia="方正楷体简体" w:cs="Times New Roman"/>
          <w:bCs/>
          <w:kern w:val="0"/>
          <w:sz w:val="32"/>
          <w:szCs w:val="32"/>
        </w:rPr>
        <w:t>国家统计局云南调查总队</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方正楷体简体" w:cs="Times New Roman"/>
          <w:bCs/>
          <w:kern w:val="0"/>
          <w:sz w:val="32"/>
          <w:szCs w:val="32"/>
        </w:rPr>
      </w:pPr>
      <w:r>
        <w:rPr>
          <w:rFonts w:hint="default" w:ascii="Times New Roman" w:hAnsi="Times New Roman" w:eastAsia="方正楷体简体" w:cs="Times New Roman"/>
          <w:bCs/>
          <w:kern w:val="0"/>
          <w:sz w:val="32"/>
          <w:szCs w:val="32"/>
        </w:rPr>
        <w:t>2024年3月</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方正仿宋简体" w:hAnsi="方正仿宋简体" w:eastAsia="方正仿宋简体" w:cs="方正仿宋简体"/>
          <w:sz w:val="32"/>
          <w:szCs w:val="32"/>
        </w:rPr>
      </w:pPr>
      <w:r>
        <w:rPr>
          <w:rFonts w:hint="default" w:ascii="Times New Roman" w:hAnsi="Times New Roman" w:eastAsia="方正仿宋简体" w:cs="Times New Roman"/>
          <w:sz w:val="32"/>
          <w:szCs w:val="32"/>
        </w:rPr>
        <w:t>2023年</w:t>
      </w:r>
      <w:r>
        <w:rPr>
          <w:rFonts w:hint="eastAsia" w:ascii="方正仿宋简体" w:hAnsi="方正仿宋简体" w:eastAsia="方正仿宋简体" w:cs="方正仿宋简体"/>
          <w:sz w:val="32"/>
          <w:szCs w:val="32"/>
        </w:rPr>
        <w:t>，在以习近平同志为核心的党中央坚强领导下，全省上下坚持以习近平新时代中国特色社会主义思想为指导，全面贯彻落实党的二十大和二十届二中全会精神，按照党中央、国务院决策部署和省委、省政府工作要求，坚持稳中求进工作总基调，完整、准确、全面贯彻新发展理念，主动服务和融入新发展格局，锚定“</w:t>
      </w:r>
      <w:r>
        <w:rPr>
          <w:rFonts w:hint="default" w:ascii="Times New Roman" w:hAnsi="Times New Roman" w:eastAsia="方正仿宋简体" w:cs="Times New Roman"/>
          <w:sz w:val="32"/>
          <w:szCs w:val="32"/>
        </w:rPr>
        <w:t>3815</w:t>
      </w:r>
      <w:r>
        <w:rPr>
          <w:rFonts w:hint="eastAsia" w:ascii="方正仿宋简体" w:hAnsi="方正仿宋简体" w:eastAsia="方正仿宋简体" w:cs="方正仿宋简体"/>
          <w:sz w:val="32"/>
          <w:szCs w:val="32"/>
        </w:rPr>
        <w:t>”战略发展目标，大力发展资源经济、园区经济、口岸经济，坚定不移推进市场化、产业化、法治化、生态化、数字化进程，深入实施系列三年行动，统筹推进解难题、促发展、惠民生各项工作，着力扩大内需、优化结构、提振信心、防范化解风险，经济运行持续恢复向好，经济总量迈上新台阶，高质量发展扎实推进，中国式现代化云南</w:t>
      </w:r>
      <w:r>
        <w:rPr>
          <w:rFonts w:hint="eastAsia" w:ascii="方正仿宋简体" w:hAnsi="方正仿宋简体" w:eastAsia="方正仿宋简体" w:cs="方正仿宋简体"/>
          <w:sz w:val="32"/>
          <w:szCs w:val="32"/>
          <w:lang w:eastAsia="zh-CN"/>
        </w:rPr>
        <w:t>实践</w:t>
      </w:r>
      <w:r>
        <w:rPr>
          <w:rFonts w:hint="eastAsia" w:ascii="方正仿宋简体" w:hAnsi="方正仿宋简体" w:eastAsia="方正仿宋简体" w:cs="方正仿宋简体"/>
          <w:sz w:val="32"/>
          <w:szCs w:val="32"/>
        </w:rPr>
        <w:t>迈出坚实步伐。</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jc w:val="center"/>
        <w:rPr>
          <w:rFonts w:hint="default" w:ascii="Times New Roman" w:hAnsi="Times New Roman" w:eastAsia="黑体" w:cs="Times New Roman"/>
          <w:bCs/>
          <w:sz w:val="32"/>
          <w:szCs w:val="32"/>
        </w:rPr>
      </w:pPr>
      <w:r>
        <w:rPr>
          <w:rFonts w:hint="eastAsia" w:ascii="方正黑体简体" w:hAnsi="方正黑体简体" w:eastAsia="方正黑体简体" w:cs="方正黑体简体"/>
          <w:bCs/>
          <w:sz w:val="32"/>
          <w:szCs w:val="32"/>
          <w:lang w:eastAsia="zh-CN"/>
        </w:rPr>
        <w:t>一、</w:t>
      </w:r>
      <w:r>
        <w:rPr>
          <w:rFonts w:hint="eastAsia" w:ascii="方正黑体简体" w:hAnsi="方正黑体简体" w:eastAsia="方正黑体简体" w:cs="方正黑体简体"/>
          <w:bCs/>
          <w:sz w:val="32"/>
          <w:szCs w:val="32"/>
        </w:rPr>
        <w:t>综合</w:t>
      </w:r>
    </w:p>
    <w:p>
      <w:pPr>
        <w:keepNext w:val="0"/>
        <w:keepLines w:val="0"/>
        <w:pageBreakBefore w:val="0"/>
        <w:widowControl w:val="0"/>
        <w:kinsoku/>
        <w:wordWrap/>
        <w:overflowPunct/>
        <w:topLinePunct w:val="0"/>
        <w:autoSpaceDE/>
        <w:autoSpaceDN/>
        <w:bidi w:val="0"/>
        <w:adjustRightInd/>
        <w:snapToGrid/>
        <w:spacing w:after="157" w:afterLines="50"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根据地区生产总值统一核算初步结果，2023年云南实现地区生产总值（GDP）[</w:t>
      </w:r>
      <w:r>
        <w:rPr>
          <w:rFonts w:hint="default" w:ascii="Times New Roman" w:hAnsi="Times New Roman" w:eastAsia="方正仿宋简体" w:cs="Times New Roman"/>
          <w:sz w:val="32"/>
          <w:szCs w:val="32"/>
        </w:rPr>
        <w:endnoteReference w:id="1"/>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30021.12</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US" w:eastAsia="zh-CN"/>
        </w:rPr>
        <w:t>4.4</w:t>
      </w:r>
      <w:r>
        <w:rPr>
          <w:rFonts w:hint="default" w:ascii="Times New Roman" w:hAnsi="Times New Roman" w:eastAsia="方正仿宋简体" w:cs="Times New Roman"/>
          <w:sz w:val="32"/>
          <w:szCs w:val="32"/>
        </w:rPr>
        <w:t>%。其中，第一产业增加值</w:t>
      </w:r>
      <w:r>
        <w:rPr>
          <w:rFonts w:hint="default" w:ascii="Times New Roman" w:hAnsi="Times New Roman" w:eastAsia="方正仿宋简体" w:cs="Times New Roman"/>
          <w:sz w:val="32"/>
          <w:szCs w:val="32"/>
          <w:lang w:val="en-US" w:eastAsia="zh-CN"/>
        </w:rPr>
        <w:t>4206.63</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4.2</w:t>
      </w:r>
      <w:r>
        <w:rPr>
          <w:rFonts w:hint="default" w:ascii="Times New Roman" w:hAnsi="Times New Roman" w:eastAsia="方正仿宋简体" w:cs="Times New Roman"/>
          <w:sz w:val="32"/>
          <w:szCs w:val="32"/>
        </w:rPr>
        <w:t>%；第二产业增加值</w:t>
      </w:r>
      <w:r>
        <w:rPr>
          <w:rFonts w:hint="default" w:ascii="Times New Roman" w:hAnsi="Times New Roman" w:eastAsia="方正仿宋简体" w:cs="Times New Roman"/>
          <w:sz w:val="32"/>
          <w:szCs w:val="32"/>
          <w:lang w:val="en-US" w:eastAsia="zh-CN"/>
        </w:rPr>
        <w:t>10256.34</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2.4</w:t>
      </w:r>
      <w:r>
        <w:rPr>
          <w:rFonts w:hint="default" w:ascii="Times New Roman" w:hAnsi="Times New Roman" w:eastAsia="方正仿宋简体" w:cs="Times New Roman"/>
          <w:sz w:val="32"/>
          <w:szCs w:val="32"/>
        </w:rPr>
        <w:t>%；第三产业增加值</w:t>
      </w:r>
      <w:r>
        <w:rPr>
          <w:rFonts w:hint="default" w:ascii="Times New Roman" w:hAnsi="Times New Roman" w:eastAsia="方正仿宋简体" w:cs="Times New Roman"/>
          <w:sz w:val="32"/>
          <w:szCs w:val="32"/>
          <w:lang w:val="en-US" w:eastAsia="zh-CN"/>
        </w:rPr>
        <w:t>15558.15</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5.7</w:t>
      </w:r>
      <w:r>
        <w:rPr>
          <w:rFonts w:hint="default" w:ascii="Times New Roman" w:hAnsi="Times New Roman" w:eastAsia="方正仿宋简体" w:cs="Times New Roman"/>
          <w:sz w:val="32"/>
          <w:szCs w:val="32"/>
        </w:rPr>
        <w:t>%。三次产业对经济增长的贡献率分别为</w:t>
      </w:r>
      <w:r>
        <w:rPr>
          <w:rFonts w:hint="default" w:ascii="Times New Roman" w:hAnsi="Times New Roman" w:eastAsia="方正仿宋简体" w:cs="Times New Roman"/>
          <w:sz w:val="32"/>
          <w:szCs w:val="32"/>
          <w:lang w:val="en-US" w:eastAsia="zh-CN"/>
        </w:rPr>
        <w:t>13.6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18.2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68.2</w:t>
      </w:r>
      <w:r>
        <w:rPr>
          <w:rFonts w:hint="default" w:ascii="Times New Roman" w:hAnsi="Times New Roman" w:eastAsia="方正仿宋简体" w:cs="Times New Roman"/>
          <w:sz w:val="32"/>
          <w:szCs w:val="32"/>
        </w:rPr>
        <w:t>%。三次产业结构为</w:t>
      </w:r>
      <w:r>
        <w:rPr>
          <w:rFonts w:hint="default" w:ascii="Times New Roman" w:hAnsi="Times New Roman" w:eastAsia="方正仿宋简体" w:cs="Times New Roman"/>
          <w:sz w:val="32"/>
          <w:szCs w:val="32"/>
          <w:lang w:val="en-US" w:eastAsia="zh-CN"/>
        </w:rPr>
        <w:t>14.0</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34.2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51.8</w:t>
      </w:r>
      <w:r>
        <w:rPr>
          <w:rFonts w:hint="default" w:ascii="Times New Roman" w:hAnsi="Times New Roman" w:eastAsia="方正仿宋简体" w:cs="Times New Roman"/>
          <w:sz w:val="32"/>
          <w:szCs w:val="32"/>
        </w:rPr>
        <w:t>。全省人均地区生产总值</w:t>
      </w:r>
      <w:r>
        <w:rPr>
          <w:rFonts w:hint="default" w:ascii="Times New Roman" w:hAnsi="Times New Roman" w:eastAsia="方正仿宋简体" w:cs="Times New Roman"/>
          <w:sz w:val="32"/>
          <w:szCs w:val="32"/>
          <w:lang w:val="en-US" w:eastAsia="zh-CN"/>
        </w:rPr>
        <w:t>64107</w:t>
      </w:r>
      <w:r>
        <w:rPr>
          <w:rFonts w:hint="default" w:ascii="Times New Roman" w:hAnsi="Times New Roman" w:eastAsia="方正仿宋简体" w:cs="Times New Roman"/>
          <w:sz w:val="32"/>
          <w:szCs w:val="32"/>
        </w:rPr>
        <w:t>元，增长</w:t>
      </w:r>
      <w:r>
        <w:rPr>
          <w:rFonts w:hint="default" w:ascii="Times New Roman" w:hAnsi="Times New Roman" w:eastAsia="方正仿宋简体" w:cs="Times New Roman"/>
          <w:sz w:val="32"/>
          <w:szCs w:val="32"/>
          <w:lang w:val="en-US" w:eastAsia="zh-CN"/>
        </w:rPr>
        <w:t>4.6</w:t>
      </w:r>
      <w:r>
        <w:rPr>
          <w:rFonts w:hint="default" w:ascii="Times New Roman" w:hAnsi="Times New Roman" w:eastAsia="方正仿宋简体" w:cs="Times New Roman"/>
          <w:sz w:val="32"/>
          <w:szCs w:val="32"/>
        </w:rPr>
        <w:t>%。全年全员劳动生产率[</w:t>
      </w:r>
      <w:r>
        <w:rPr>
          <w:rFonts w:hint="default" w:ascii="Times New Roman" w:hAnsi="Times New Roman" w:eastAsia="方正仿宋简体" w:cs="Times New Roman"/>
          <w:sz w:val="32"/>
          <w:szCs w:val="32"/>
        </w:rPr>
        <w:endnoteReference w:id="2"/>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10.52</w:t>
      </w:r>
      <w:r>
        <w:rPr>
          <w:rFonts w:hint="default" w:ascii="Times New Roman" w:hAnsi="Times New Roman" w:eastAsia="方正仿宋简体" w:cs="Times New Roman"/>
          <w:sz w:val="32"/>
          <w:szCs w:val="32"/>
        </w:rPr>
        <w:t>万元/人，比上年提高</w:t>
      </w:r>
      <w:r>
        <w:rPr>
          <w:rFonts w:hint="default" w:ascii="Times New Roman" w:hAnsi="Times New Roman" w:eastAsia="方正仿宋简体" w:cs="Times New Roman"/>
          <w:sz w:val="32"/>
          <w:szCs w:val="32"/>
          <w:lang w:val="en-US" w:eastAsia="zh-CN"/>
        </w:rPr>
        <w:t>5.4</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drawing>
          <wp:inline distT="0" distB="0" distL="114300" distR="114300">
            <wp:extent cx="4970780" cy="2927350"/>
            <wp:effectExtent l="0" t="0" r="1270" b="635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4970780" cy="2927350"/>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drawing>
          <wp:inline distT="0" distB="0" distL="114300" distR="114300">
            <wp:extent cx="4993005" cy="3053080"/>
            <wp:effectExtent l="0" t="0" r="17145" b="13970"/>
            <wp:docPr id="16" name="图片 1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2"/>
                    <pic:cNvPicPr>
                      <a:picLocks noChangeAspect="1"/>
                    </pic:cNvPicPr>
                  </pic:nvPicPr>
                  <pic:blipFill>
                    <a:blip r:embed="rId8"/>
                    <a:stretch>
                      <a:fillRect/>
                    </a:stretch>
                  </pic:blipFill>
                  <pic:spPr>
                    <a:xfrm>
                      <a:off x="0" y="0"/>
                      <a:ext cx="4993005" cy="3053080"/>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sz w:val="32"/>
          <w:szCs w:val="32"/>
          <w:lang w:eastAsia="zh-CN"/>
        </w:rPr>
        <w:t>年</w:t>
      </w:r>
      <w:r>
        <w:rPr>
          <w:rFonts w:hint="default" w:ascii="Times New Roman" w:hAnsi="Times New Roman" w:eastAsia="方正仿宋简体" w:cs="Times New Roman"/>
          <w:color w:val="auto"/>
          <w:sz w:val="32"/>
          <w:szCs w:val="32"/>
        </w:rPr>
        <w:t>末全省常住人口</w:t>
      </w:r>
      <w:r>
        <w:rPr>
          <w:rFonts w:hint="default" w:ascii="Times New Roman" w:hAnsi="Times New Roman" w:eastAsia="方正仿宋简体" w:cs="Times New Roman"/>
          <w:sz w:val="32"/>
          <w:szCs w:val="32"/>
          <w:lang w:val="en-US" w:eastAsia="zh-CN"/>
        </w:rPr>
        <w:t>4673</w:t>
      </w:r>
      <w:r>
        <w:rPr>
          <w:rFonts w:hint="default" w:ascii="Times New Roman" w:hAnsi="Times New Roman" w:eastAsia="方正仿宋简体" w:cs="Times New Roman"/>
          <w:color w:val="auto"/>
          <w:sz w:val="32"/>
          <w:szCs w:val="32"/>
        </w:rPr>
        <w:t>万人。全年出生人口</w:t>
      </w:r>
      <w:r>
        <w:rPr>
          <w:rFonts w:hint="default" w:ascii="Times New Roman" w:hAnsi="Times New Roman" w:eastAsia="方正仿宋简体" w:cs="Times New Roman"/>
          <w:sz w:val="32"/>
          <w:szCs w:val="32"/>
          <w:lang w:val="en-US" w:eastAsia="zh-CN"/>
        </w:rPr>
        <w:t>38.5</w:t>
      </w:r>
      <w:r>
        <w:rPr>
          <w:rFonts w:hint="default" w:ascii="Times New Roman" w:hAnsi="Times New Roman" w:eastAsia="方正仿宋简体" w:cs="Times New Roman"/>
          <w:color w:val="auto"/>
          <w:sz w:val="32"/>
          <w:szCs w:val="32"/>
        </w:rPr>
        <w:t>万人，出生率为</w:t>
      </w:r>
      <w:r>
        <w:rPr>
          <w:rFonts w:hint="default" w:ascii="Times New Roman" w:hAnsi="Times New Roman" w:eastAsia="方正仿宋简体" w:cs="Times New Roman"/>
          <w:sz w:val="32"/>
          <w:szCs w:val="32"/>
          <w:lang w:val="en-US" w:eastAsia="zh-CN"/>
        </w:rPr>
        <w:t>8.22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；死亡人口</w:t>
      </w:r>
      <w:r>
        <w:rPr>
          <w:rFonts w:hint="default" w:ascii="Times New Roman" w:hAnsi="Times New Roman" w:eastAsia="方正仿宋简体" w:cs="Times New Roman"/>
          <w:sz w:val="32"/>
          <w:szCs w:val="32"/>
          <w:lang w:val="en-US" w:eastAsia="zh-CN"/>
        </w:rPr>
        <w:t>40.3</w:t>
      </w:r>
      <w:r>
        <w:rPr>
          <w:rFonts w:hint="default" w:ascii="Times New Roman" w:hAnsi="Times New Roman" w:eastAsia="方正仿宋简体" w:cs="Times New Roman"/>
          <w:color w:val="auto"/>
          <w:sz w:val="32"/>
          <w:szCs w:val="32"/>
        </w:rPr>
        <w:t>万人，死亡率为</w:t>
      </w:r>
      <w:r>
        <w:rPr>
          <w:rFonts w:hint="default" w:ascii="Times New Roman" w:hAnsi="Times New Roman" w:eastAsia="方正仿宋简体" w:cs="Times New Roman"/>
          <w:sz w:val="32"/>
          <w:szCs w:val="32"/>
          <w:lang w:val="en-US" w:eastAsia="zh-CN"/>
        </w:rPr>
        <w:t>8.61</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；自然增长率为</w:t>
      </w:r>
      <w:r>
        <w:rPr>
          <w:rFonts w:hint="default" w:ascii="Times New Roman" w:hAnsi="Times New Roman" w:eastAsia="方正仿宋简体" w:cs="Times New Roman"/>
          <w:sz w:val="32"/>
          <w:szCs w:val="32"/>
          <w:lang w:val="en-US" w:eastAsia="zh-CN"/>
        </w:rPr>
        <w:t>-0.39</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。年末全省城镇人口</w:t>
      </w:r>
      <w:r>
        <w:rPr>
          <w:rFonts w:hint="default" w:ascii="Times New Roman" w:hAnsi="Times New Roman" w:eastAsia="方正仿宋简体" w:cs="Times New Roman"/>
          <w:sz w:val="32"/>
          <w:szCs w:val="32"/>
          <w:lang w:val="en-US" w:eastAsia="zh-CN"/>
        </w:rPr>
        <w:t>2473</w:t>
      </w:r>
      <w:r>
        <w:rPr>
          <w:rFonts w:hint="default" w:ascii="Times New Roman" w:hAnsi="Times New Roman" w:eastAsia="方正仿宋简体" w:cs="Times New Roman"/>
          <w:color w:val="auto"/>
          <w:sz w:val="32"/>
          <w:szCs w:val="32"/>
        </w:rPr>
        <w:t>万人，乡村人口</w:t>
      </w:r>
      <w:r>
        <w:rPr>
          <w:rFonts w:hint="default" w:ascii="Times New Roman" w:hAnsi="Times New Roman" w:eastAsia="方正仿宋简体" w:cs="Times New Roman"/>
          <w:sz w:val="32"/>
          <w:szCs w:val="32"/>
          <w:lang w:val="en-US" w:eastAsia="zh-CN"/>
        </w:rPr>
        <w:t>2200</w:t>
      </w:r>
      <w:r>
        <w:rPr>
          <w:rFonts w:hint="default" w:ascii="Times New Roman" w:hAnsi="Times New Roman" w:eastAsia="方正仿宋简体" w:cs="Times New Roman"/>
          <w:color w:val="auto"/>
          <w:sz w:val="32"/>
          <w:szCs w:val="32"/>
        </w:rPr>
        <w:t>万人，</w:t>
      </w:r>
      <w:r>
        <w:rPr>
          <w:rFonts w:hint="default" w:ascii="Times New Roman" w:hAnsi="Times New Roman" w:eastAsia="方正仿宋简体" w:cs="Times New Roman"/>
          <w:sz w:val="32"/>
          <w:szCs w:val="32"/>
        </w:rPr>
        <w:t>城镇化率</w:t>
      </w:r>
      <w:r>
        <w:rPr>
          <w:rFonts w:hint="default" w:ascii="Times New Roman" w:hAnsi="Times New Roman" w:eastAsia="方正仿宋简体" w:cs="Times New Roman"/>
          <w:sz w:val="32"/>
          <w:szCs w:val="32"/>
          <w:lang w:val="en-US" w:eastAsia="zh-CN"/>
        </w:rPr>
        <w:t>52.92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 w:eastAsia="zh-CN"/>
        </w:rPr>
        <w:t>，比上年末提高</w:t>
      </w:r>
      <w:r>
        <w:rPr>
          <w:rFonts w:hint="default" w:ascii="Times New Roman" w:hAnsi="Times New Roman" w:eastAsia="方正仿宋简体" w:cs="Times New Roman"/>
          <w:sz w:val="32"/>
          <w:szCs w:val="32"/>
          <w:lang w:val="en-US" w:eastAsia="zh-CN"/>
        </w:rPr>
        <w:t>1.2个百分点</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jc w:val="center"/>
        <w:rPr>
          <w:rFonts w:hint="default" w:ascii="Times New Roman" w:hAnsi="Times New Roman" w:eastAsia="方正黑体简体" w:cs="Times New Roman"/>
          <w:szCs w:val="21"/>
        </w:rPr>
      </w:pPr>
      <w:r>
        <w:rPr>
          <w:rFonts w:hint="default" w:ascii="Times New Roman" w:hAnsi="Times New Roman" w:eastAsia="方正黑体简体" w:cs="Times New Roman"/>
          <w:bCs/>
          <w:sz w:val="28"/>
          <w:szCs w:val="28"/>
        </w:rPr>
        <w:t>表1  202</w:t>
      </w:r>
      <w:r>
        <w:rPr>
          <w:rFonts w:hint="default" w:ascii="Times New Roman" w:hAnsi="Times New Roman" w:eastAsia="方正黑体简体" w:cs="Times New Roman"/>
          <w:bCs/>
          <w:sz w:val="28"/>
          <w:szCs w:val="28"/>
          <w:lang w:val="en-US" w:eastAsia="zh-CN"/>
        </w:rPr>
        <w:t>3</w:t>
      </w:r>
      <w:r>
        <w:rPr>
          <w:rFonts w:hint="default" w:ascii="Times New Roman" w:hAnsi="Times New Roman" w:eastAsia="方正黑体简体" w:cs="Times New Roman"/>
          <w:bCs/>
          <w:sz w:val="28"/>
          <w:szCs w:val="28"/>
        </w:rPr>
        <w:t>年云南人口数及构成</w:t>
      </w:r>
      <w:r>
        <w:rPr>
          <w:rStyle w:val="14"/>
          <w:rFonts w:hint="default" w:ascii="Times New Roman" w:hAnsi="Times New Roman" w:eastAsia="方正黑体简体" w:cs="Times New Roman"/>
          <w:bCs/>
          <w:sz w:val="28"/>
          <w:szCs w:val="28"/>
        </w:rPr>
        <w:t>[</w:t>
      </w:r>
      <w:r>
        <w:rPr>
          <w:rStyle w:val="14"/>
          <w:rFonts w:hint="default" w:ascii="Times New Roman" w:hAnsi="Times New Roman" w:eastAsia="方正黑体简体" w:cs="Times New Roman"/>
          <w:bCs/>
          <w:sz w:val="28"/>
          <w:szCs w:val="28"/>
        </w:rPr>
        <w:endnoteReference w:id="3"/>
      </w:r>
      <w:r>
        <w:rPr>
          <w:rStyle w:val="14"/>
          <w:rFonts w:hint="default" w:ascii="Times New Roman" w:hAnsi="Times New Roman" w:eastAsia="方正黑体简体" w:cs="Times New Roman"/>
          <w:bCs/>
          <w:sz w:val="28"/>
          <w:szCs w:val="28"/>
        </w:rPr>
        <w:t>]</w:t>
      </w:r>
    </w:p>
    <w:tbl>
      <w:tblPr>
        <w:tblStyle w:val="12"/>
        <w:tblW w:w="7954" w:type="dxa"/>
        <w:jc w:val="center"/>
        <w:tblLayout w:type="fixed"/>
        <w:tblCellMar>
          <w:top w:w="15" w:type="dxa"/>
          <w:left w:w="15" w:type="dxa"/>
          <w:bottom w:w="15" w:type="dxa"/>
          <w:right w:w="15" w:type="dxa"/>
        </w:tblCellMar>
      </w:tblPr>
      <w:tblGrid>
        <w:gridCol w:w="3833"/>
        <w:gridCol w:w="2129"/>
        <w:gridCol w:w="1992"/>
      </w:tblGrid>
      <w:tr>
        <w:tblPrEx>
          <w:tblCellMar>
            <w:top w:w="15" w:type="dxa"/>
            <w:left w:w="15" w:type="dxa"/>
            <w:bottom w:w="15" w:type="dxa"/>
            <w:right w:w="15" w:type="dxa"/>
          </w:tblCellMar>
        </w:tblPrEx>
        <w:trPr>
          <w:trHeight w:val="582" w:hRule="atLeast"/>
          <w:jc w:val="center"/>
        </w:trPr>
        <w:tc>
          <w:tcPr>
            <w:tcW w:w="3833" w:type="dxa"/>
            <w:tcBorders>
              <w:top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指  标</w:t>
            </w:r>
          </w:p>
        </w:tc>
        <w:tc>
          <w:tcPr>
            <w:tcW w:w="2129" w:type="dxa"/>
            <w:tcBorders>
              <w:top w:val="single" w:color="000000" w:sz="12"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年末数（万人）</w:t>
            </w:r>
          </w:p>
        </w:tc>
        <w:tc>
          <w:tcPr>
            <w:tcW w:w="1992" w:type="dxa"/>
            <w:tcBorders>
              <w:top w:val="single" w:color="000000" w:sz="12" w:space="0"/>
              <w:bottom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比  重（%）</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center"/>
              <w:rPr>
                <w:rFonts w:hint="default" w:ascii="Times New Roman" w:hAnsi="Times New Roman" w:cs="Times New Roman"/>
                <w:b/>
                <w:bCs/>
                <w:sz w:val="22"/>
              </w:rPr>
            </w:pPr>
            <w:r>
              <w:rPr>
                <w:rFonts w:hint="default" w:ascii="Times New Roman" w:hAnsi="Times New Roman" w:cs="Times New Roman"/>
                <w:b/>
                <w:bCs/>
                <w:kern w:val="0"/>
                <w:sz w:val="22"/>
              </w:rPr>
              <w:t>全省总人口</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b/>
                <w:bCs/>
                <w:kern w:val="2"/>
                <w:sz w:val="22"/>
                <w:szCs w:val="22"/>
                <w:lang w:val="en-US" w:eastAsia="zh-CN" w:bidi="ar-SA"/>
              </w:rPr>
            </w:pPr>
            <w:r>
              <w:rPr>
                <w:rFonts w:hint="default" w:ascii="Times New Roman" w:hAnsi="Times New Roman" w:cs="Times New Roman"/>
                <w:b/>
                <w:bCs/>
                <w:sz w:val="22"/>
                <w:lang w:val="en-US" w:eastAsia="zh-CN"/>
              </w:rPr>
              <w:t>4673</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b/>
                <w:bCs/>
                <w:kern w:val="2"/>
                <w:sz w:val="22"/>
                <w:szCs w:val="22"/>
                <w:lang w:val="en-US" w:eastAsia="zh-CN" w:bidi="ar-SA"/>
              </w:rPr>
            </w:pPr>
            <w:r>
              <w:rPr>
                <w:rFonts w:hint="default" w:ascii="Times New Roman" w:hAnsi="Times New Roman" w:cs="Times New Roman"/>
                <w:b/>
                <w:bCs/>
                <w:sz w:val="22"/>
                <w:lang w:val="en-US" w:eastAsia="zh-CN"/>
              </w:rPr>
              <w:t>100</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440" w:firstLineChars="200"/>
              <w:jc w:val="left"/>
              <w:textAlignment w:val="center"/>
              <w:rPr>
                <w:rFonts w:hint="default" w:ascii="Times New Roman" w:hAnsi="Times New Roman" w:cs="Times New Roman"/>
                <w:sz w:val="22"/>
              </w:rPr>
            </w:pPr>
            <w:r>
              <w:rPr>
                <w:rFonts w:hint="default" w:ascii="Times New Roman" w:hAnsi="Times New Roman" w:cs="Times New Roman"/>
                <w:kern w:val="0"/>
                <w:sz w:val="22"/>
              </w:rPr>
              <w:t>其中：城镇</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2473</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52.92</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1100" w:firstLineChars="500"/>
              <w:jc w:val="left"/>
              <w:textAlignment w:val="center"/>
              <w:rPr>
                <w:rFonts w:hint="default" w:ascii="Times New Roman" w:hAnsi="Times New Roman" w:cs="Times New Roman"/>
                <w:sz w:val="22"/>
              </w:rPr>
            </w:pPr>
            <w:r>
              <w:rPr>
                <w:rFonts w:hint="default" w:ascii="Times New Roman" w:hAnsi="Times New Roman" w:cs="Times New Roman"/>
                <w:kern w:val="0"/>
                <w:sz w:val="22"/>
              </w:rPr>
              <w:t>乡村</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2200</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47.08</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440" w:firstLineChars="200"/>
              <w:jc w:val="left"/>
              <w:textAlignment w:val="center"/>
              <w:rPr>
                <w:rFonts w:hint="default" w:ascii="Times New Roman" w:hAnsi="Times New Roman" w:cs="Times New Roman"/>
                <w:sz w:val="22"/>
              </w:rPr>
            </w:pPr>
            <w:r>
              <w:rPr>
                <w:rFonts w:hint="default" w:ascii="Times New Roman" w:hAnsi="Times New Roman" w:cs="Times New Roman"/>
                <w:kern w:val="0"/>
                <w:sz w:val="22"/>
              </w:rPr>
              <w:t>其中：男性</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2402</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51.40</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1100" w:firstLineChars="500"/>
              <w:jc w:val="left"/>
              <w:textAlignment w:val="center"/>
              <w:rPr>
                <w:rFonts w:hint="default" w:ascii="Times New Roman" w:hAnsi="Times New Roman" w:cs="Times New Roman"/>
                <w:sz w:val="22"/>
              </w:rPr>
            </w:pPr>
            <w:r>
              <w:rPr>
                <w:rFonts w:hint="default" w:ascii="Times New Roman" w:hAnsi="Times New Roman" w:cs="Times New Roman"/>
                <w:kern w:val="0"/>
                <w:sz w:val="22"/>
              </w:rPr>
              <w:t>女性</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2271</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48.60</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440" w:firstLineChars="200"/>
              <w:jc w:val="left"/>
              <w:textAlignment w:val="center"/>
              <w:rPr>
                <w:rFonts w:hint="default" w:ascii="Times New Roman" w:hAnsi="Times New Roman" w:cs="Times New Roman"/>
                <w:sz w:val="22"/>
              </w:rPr>
            </w:pPr>
            <w:r>
              <w:rPr>
                <w:rFonts w:hint="default" w:ascii="Times New Roman" w:hAnsi="Times New Roman" w:cs="Times New Roman"/>
                <w:kern w:val="0"/>
                <w:sz w:val="22"/>
              </w:rPr>
              <w:t>其中：0-15岁（含不满16周岁）</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917</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19.62</w:t>
            </w:r>
          </w:p>
        </w:tc>
      </w:tr>
      <w:tr>
        <w:tblPrEx>
          <w:tblCellMar>
            <w:top w:w="15" w:type="dxa"/>
            <w:left w:w="15" w:type="dxa"/>
            <w:bottom w:w="15" w:type="dxa"/>
            <w:right w:w="15" w:type="dxa"/>
          </w:tblCellMar>
        </w:tblPrEx>
        <w:trPr>
          <w:trHeight w:val="397" w:hRule="atLeast"/>
          <w:jc w:val="center"/>
        </w:trPr>
        <w:tc>
          <w:tcPr>
            <w:tcW w:w="38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1100" w:firstLineChars="500"/>
              <w:jc w:val="left"/>
              <w:textAlignment w:val="center"/>
              <w:rPr>
                <w:rFonts w:hint="default" w:ascii="Times New Roman" w:hAnsi="Times New Roman" w:cs="Times New Roman"/>
                <w:sz w:val="22"/>
              </w:rPr>
            </w:pPr>
            <w:r>
              <w:rPr>
                <w:rFonts w:hint="default" w:ascii="Times New Roman" w:hAnsi="Times New Roman" w:cs="Times New Roman"/>
                <w:kern w:val="0"/>
                <w:sz w:val="22"/>
              </w:rPr>
              <w:t>16-59岁（含不满60周岁）</w:t>
            </w:r>
          </w:p>
        </w:tc>
        <w:tc>
          <w:tcPr>
            <w:tcW w:w="2129" w:type="dxa"/>
            <w:tcBorders>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2964</w:t>
            </w:r>
          </w:p>
        </w:tc>
        <w:tc>
          <w:tcPr>
            <w:tcW w:w="1992" w:type="dxa"/>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lang w:val="en-US" w:eastAsia="zh-CN"/>
              </w:rPr>
              <w:t>63.43</w:t>
            </w:r>
          </w:p>
        </w:tc>
      </w:tr>
      <w:tr>
        <w:tblPrEx>
          <w:tblCellMar>
            <w:top w:w="15" w:type="dxa"/>
            <w:left w:w="15" w:type="dxa"/>
            <w:bottom w:w="15" w:type="dxa"/>
            <w:right w:w="15" w:type="dxa"/>
          </w:tblCellMar>
        </w:tblPrEx>
        <w:trPr>
          <w:trHeight w:val="397" w:hRule="atLeast"/>
          <w:jc w:val="center"/>
        </w:trPr>
        <w:tc>
          <w:tcPr>
            <w:tcW w:w="3833" w:type="dxa"/>
            <w:tcBorders>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1100" w:firstLineChars="500"/>
              <w:jc w:val="left"/>
              <w:textAlignment w:val="center"/>
              <w:rPr>
                <w:rFonts w:hint="default" w:ascii="Times New Roman" w:hAnsi="Times New Roman" w:cs="Times New Roman"/>
                <w:kern w:val="0"/>
                <w:sz w:val="22"/>
              </w:rPr>
            </w:pPr>
            <w:r>
              <w:rPr>
                <w:rFonts w:hint="default" w:ascii="Times New Roman" w:hAnsi="Times New Roman" w:cs="Times New Roman"/>
                <w:kern w:val="0"/>
                <w:sz w:val="22"/>
              </w:rPr>
              <w:t xml:space="preserve">60岁及以上    </w:t>
            </w:r>
          </w:p>
          <w:p>
            <w:pPr>
              <w:keepNext w:val="0"/>
              <w:keepLines w:val="0"/>
              <w:pageBreakBefore w:val="0"/>
              <w:widowControl w:val="0"/>
              <w:kinsoku/>
              <w:wordWrap/>
              <w:overflowPunct w:val="0"/>
              <w:topLinePunct w:val="0"/>
              <w:autoSpaceDE/>
              <w:autoSpaceDN/>
              <w:bidi w:val="0"/>
              <w:adjustRightInd/>
              <w:snapToGrid/>
              <w:spacing w:line="360" w:lineRule="exact"/>
              <w:ind w:left="0" w:leftChars="0" w:firstLine="990" w:firstLineChars="450"/>
              <w:jc w:val="left"/>
              <w:textAlignment w:val="center"/>
              <w:rPr>
                <w:rFonts w:hint="default" w:ascii="Times New Roman" w:hAnsi="Times New Roman" w:cs="Times New Roman"/>
                <w:kern w:val="0"/>
                <w:sz w:val="22"/>
              </w:rPr>
            </w:pPr>
            <w:r>
              <w:rPr>
                <w:rFonts w:hint="default" w:ascii="Times New Roman" w:hAnsi="Times New Roman" w:cs="Times New Roman"/>
                <w:kern w:val="0"/>
                <w:sz w:val="22"/>
              </w:rPr>
              <w:t xml:space="preserve">    其中：65岁及以上        </w:t>
            </w:r>
          </w:p>
        </w:tc>
        <w:tc>
          <w:tcPr>
            <w:tcW w:w="2129" w:type="dxa"/>
            <w:tcBorders>
              <w:bottom w:val="single" w:color="000000" w:sz="12" w:space="0"/>
              <w:right w:val="single" w:color="000000" w:sz="4"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sz w:val="22"/>
                <w:lang w:val="en-US" w:eastAsia="zh-CN"/>
              </w:rPr>
            </w:pPr>
            <w:r>
              <w:rPr>
                <w:rFonts w:hint="default" w:ascii="Times New Roman" w:hAnsi="Times New Roman" w:cs="Times New Roman"/>
                <w:sz w:val="22"/>
                <w:lang w:val="en-US" w:eastAsia="zh-CN"/>
              </w:rPr>
              <w:t>792</w:t>
            </w:r>
          </w:p>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cs="Times New Roman"/>
                <w:sz w:val="22"/>
                <w:lang w:val="en-US" w:eastAsia="zh-CN"/>
              </w:rPr>
              <w:t>558</w:t>
            </w:r>
          </w:p>
        </w:tc>
        <w:tc>
          <w:tcPr>
            <w:tcW w:w="1992" w:type="dxa"/>
            <w:tcBorders>
              <w:bottom w:val="single" w:color="000000" w:sz="12" w:space="0"/>
            </w:tcBorders>
            <w:shd w:val="clear" w:color="auto" w:fill="FFFFFF"/>
            <w:tcMar>
              <w:top w:w="15" w:type="dxa"/>
              <w:left w:w="15" w:type="dxa"/>
              <w:bottom w:w="15" w:type="dxa"/>
              <w:right w:w="737"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sz w:val="22"/>
                <w:lang w:val="en-US" w:eastAsia="zh-CN"/>
              </w:rPr>
            </w:pPr>
            <w:r>
              <w:rPr>
                <w:rFonts w:hint="default" w:ascii="Times New Roman" w:hAnsi="Times New Roman" w:eastAsia="宋体" w:cs="Times New Roman"/>
                <w:sz w:val="22"/>
                <w:lang w:val="en-US" w:eastAsia="zh-CN"/>
              </w:rPr>
              <w:t>16.95</w:t>
            </w:r>
          </w:p>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lang w:val="en-US" w:eastAsia="zh-CN"/>
              </w:rPr>
              <w:t>11.94</w:t>
            </w:r>
          </w:p>
        </w:tc>
      </w:tr>
    </w:tbl>
    <w:p>
      <w:pPr>
        <w:keepNext w:val="0"/>
        <w:keepLines w:val="0"/>
        <w:pageBreakBefore w:val="0"/>
        <w:widowControl w:val="0"/>
        <w:kinsoku/>
        <w:wordWrap/>
        <w:overflowPunct w:val="0"/>
        <w:topLinePunct w:val="0"/>
        <w:autoSpaceDE/>
        <w:autoSpaceDN/>
        <w:bidi w:val="0"/>
        <w:adjustRightInd/>
        <w:snapToGrid/>
        <w:spacing w:before="157" w:beforeLines="50" w:line="560" w:lineRule="exact"/>
        <w:ind w:left="0" w:leftChars="0"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全年城镇新增就业人数</w:t>
      </w:r>
      <w:r>
        <w:rPr>
          <w:rFonts w:hint="default" w:ascii="Times New Roman" w:hAnsi="Times New Roman" w:eastAsia="方正仿宋简体" w:cs="Times New Roman"/>
          <w:color w:val="auto"/>
          <w:sz w:val="32"/>
          <w:szCs w:val="32"/>
          <w:lang w:val="en"/>
        </w:rPr>
        <w:t>53.98</w:t>
      </w:r>
      <w:r>
        <w:rPr>
          <w:rFonts w:hint="default" w:ascii="Times New Roman" w:hAnsi="Times New Roman" w:eastAsia="方正仿宋简体" w:cs="Times New Roman"/>
          <w:color w:val="auto"/>
          <w:sz w:val="32"/>
          <w:szCs w:val="32"/>
        </w:rPr>
        <w:t>万人，全年全省城镇调查失业率均值为</w:t>
      </w:r>
      <w:r>
        <w:rPr>
          <w:rFonts w:hint="default" w:ascii="Times New Roman" w:hAnsi="Times New Roman" w:eastAsia="方正仿宋简体" w:cs="Times New Roman"/>
          <w:color w:val="auto"/>
          <w:sz w:val="32"/>
          <w:szCs w:val="32"/>
          <w:lang w:val="en"/>
        </w:rPr>
        <w:t>5.3</w:t>
      </w:r>
      <w:r>
        <w:rPr>
          <w:rFonts w:hint="default" w:ascii="Times New Roman" w:hAnsi="Times New Roman" w:eastAsia="方正仿宋简体" w:cs="Times New Roman"/>
          <w:color w:val="auto"/>
          <w:sz w:val="32"/>
          <w:szCs w:val="32"/>
        </w:rPr>
        <w:t>%。全年全省农民工总量</w:t>
      </w:r>
      <w:r>
        <w:rPr>
          <w:rStyle w:val="14"/>
          <w:rFonts w:hint="default" w:ascii="Times New Roman" w:hAnsi="Times New Roman" w:eastAsia="方正仿宋简体" w:cs="Times New Roman"/>
          <w:sz w:val="32"/>
          <w:szCs w:val="32"/>
        </w:rPr>
        <w:t>[</w:t>
      </w:r>
      <w:r>
        <w:rPr>
          <w:rStyle w:val="14"/>
          <w:rFonts w:hint="default" w:ascii="Times New Roman" w:hAnsi="Times New Roman" w:eastAsia="方正仿宋简体" w:cs="Times New Roman"/>
          <w:sz w:val="32"/>
          <w:szCs w:val="32"/>
        </w:rPr>
        <w:endnoteReference w:id="4"/>
      </w:r>
      <w:r>
        <w:rPr>
          <w:rStyle w:val="14"/>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lang w:val="en-US" w:eastAsia="zh-CN"/>
        </w:rPr>
        <w:t>1004</w:t>
      </w:r>
      <w:r>
        <w:rPr>
          <w:rFonts w:hint="default" w:ascii="Times New Roman" w:hAnsi="Times New Roman" w:eastAsia="方正仿宋简体" w:cs="Times New Roman"/>
          <w:color w:val="auto"/>
          <w:sz w:val="32"/>
          <w:szCs w:val="32"/>
        </w:rPr>
        <w:t>万人。其中，本地农民工</w:t>
      </w:r>
      <w:r>
        <w:rPr>
          <w:rFonts w:hint="default" w:ascii="Times New Roman" w:hAnsi="Times New Roman" w:eastAsia="方正仿宋简体" w:cs="Times New Roman"/>
          <w:color w:val="auto"/>
          <w:sz w:val="32"/>
          <w:szCs w:val="32"/>
          <w:lang w:val="en-US" w:eastAsia="zh-CN"/>
        </w:rPr>
        <w:t>37</w:t>
      </w:r>
      <w:r>
        <w:rPr>
          <w:rFonts w:hint="eastAsia" w:ascii="Times New Roman" w:hAnsi="Times New Roman" w:eastAsia="方正仿宋简体" w:cs="Times New Roman"/>
          <w:color w:val="auto"/>
          <w:sz w:val="32"/>
          <w:szCs w:val="32"/>
          <w:lang w:val="en-US" w:eastAsia="zh-CN"/>
        </w:rPr>
        <w:t>1.6</w:t>
      </w:r>
      <w:r>
        <w:rPr>
          <w:rFonts w:hint="default" w:ascii="Times New Roman" w:hAnsi="Times New Roman" w:eastAsia="方正仿宋简体" w:cs="Times New Roman"/>
          <w:color w:val="auto"/>
          <w:sz w:val="32"/>
          <w:szCs w:val="32"/>
        </w:rPr>
        <w:t>万人，比上年</w:t>
      </w:r>
      <w:r>
        <w:rPr>
          <w:rFonts w:hint="default" w:ascii="Times New Roman" w:hAnsi="Times New Roman" w:eastAsia="方正仿宋简体" w:cs="Times New Roman"/>
          <w:color w:val="auto"/>
          <w:sz w:val="32"/>
          <w:szCs w:val="32"/>
          <w:lang w:eastAsia="zh-CN"/>
        </w:rPr>
        <w:t>减少</w:t>
      </w:r>
      <w:r>
        <w:rPr>
          <w:rFonts w:hint="default" w:ascii="Times New Roman" w:hAnsi="Times New Roman" w:eastAsia="方正仿宋简体" w:cs="Times New Roman"/>
          <w:color w:val="auto"/>
          <w:sz w:val="32"/>
          <w:szCs w:val="32"/>
          <w:lang w:val="en-US" w:eastAsia="zh-CN"/>
        </w:rPr>
        <w:t>14.</w:t>
      </w:r>
      <w:r>
        <w:rPr>
          <w:rFonts w:hint="eastAsia" w:ascii="Times New Roman" w:hAnsi="Times New Roman" w:eastAsia="方正仿宋简体" w:cs="Times New Roman"/>
          <w:color w:val="auto"/>
          <w:sz w:val="32"/>
          <w:szCs w:val="32"/>
          <w:lang w:val="en-US" w:eastAsia="zh-CN"/>
        </w:rPr>
        <w:t>8</w:t>
      </w:r>
      <w:r>
        <w:rPr>
          <w:rFonts w:hint="default" w:ascii="Times New Roman" w:hAnsi="Times New Roman" w:eastAsia="方正仿宋简体" w:cs="Times New Roman"/>
          <w:color w:val="auto"/>
          <w:sz w:val="32"/>
          <w:szCs w:val="32"/>
        </w:rPr>
        <w:t>万人，</w:t>
      </w:r>
      <w:r>
        <w:rPr>
          <w:rFonts w:hint="default" w:ascii="Times New Roman" w:hAnsi="Times New Roman" w:eastAsia="方正仿宋简体" w:cs="Times New Roman"/>
          <w:color w:val="auto"/>
          <w:sz w:val="32"/>
          <w:szCs w:val="32"/>
          <w:lang w:eastAsia="zh-CN"/>
        </w:rPr>
        <w:t>下降</w:t>
      </w:r>
      <w:r>
        <w:rPr>
          <w:rFonts w:hint="default" w:ascii="Times New Roman" w:hAnsi="Times New Roman" w:eastAsia="方正仿宋简体" w:cs="Times New Roman"/>
          <w:color w:val="auto"/>
          <w:sz w:val="32"/>
          <w:szCs w:val="32"/>
          <w:lang w:val="en-US" w:eastAsia="zh-CN"/>
        </w:rPr>
        <w:t>3.8</w:t>
      </w:r>
      <w:r>
        <w:rPr>
          <w:rFonts w:hint="default" w:ascii="Times New Roman" w:hAnsi="Times New Roman" w:eastAsia="方正仿宋简体" w:cs="Times New Roman"/>
          <w:color w:val="auto"/>
          <w:sz w:val="32"/>
          <w:szCs w:val="32"/>
        </w:rPr>
        <w:t>%；外出农民工</w:t>
      </w:r>
      <w:r>
        <w:rPr>
          <w:rFonts w:hint="default" w:ascii="Times New Roman" w:hAnsi="Times New Roman" w:eastAsia="方正仿宋简体" w:cs="Times New Roman"/>
          <w:color w:val="auto"/>
          <w:sz w:val="32"/>
          <w:szCs w:val="32"/>
          <w:lang w:val="en-US" w:eastAsia="zh-CN"/>
        </w:rPr>
        <w:t>632</w:t>
      </w:r>
      <w:r>
        <w:rPr>
          <w:rFonts w:hint="eastAsia" w:ascii="Times New Roman" w:hAnsi="Times New Roman" w:eastAsia="方正仿宋简体" w:cs="Times New Roman"/>
          <w:color w:val="auto"/>
          <w:sz w:val="32"/>
          <w:szCs w:val="32"/>
          <w:lang w:val="en-US" w:eastAsia="zh-CN"/>
        </w:rPr>
        <w:t>.0</w:t>
      </w:r>
      <w:r>
        <w:rPr>
          <w:rFonts w:hint="default" w:ascii="Times New Roman" w:hAnsi="Times New Roman" w:eastAsia="方正仿宋简体" w:cs="Times New Roman"/>
          <w:color w:val="auto"/>
          <w:sz w:val="32"/>
          <w:szCs w:val="32"/>
        </w:rPr>
        <w:t>万人，比上年增加</w:t>
      </w:r>
      <w:r>
        <w:rPr>
          <w:rFonts w:hint="default"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lang w:val="en-US" w:eastAsia="zh-CN"/>
        </w:rPr>
        <w:t>9</w:t>
      </w:r>
      <w:r>
        <w:rPr>
          <w:rFonts w:hint="default" w:ascii="Times New Roman" w:hAnsi="Times New Roman" w:eastAsia="方正仿宋简体" w:cs="Times New Roman"/>
          <w:color w:val="auto"/>
          <w:sz w:val="32"/>
          <w:szCs w:val="32"/>
        </w:rPr>
        <w:t>万人，增长</w:t>
      </w:r>
      <w:r>
        <w:rPr>
          <w:rFonts w:hint="default" w:ascii="Times New Roman" w:hAnsi="Times New Roman" w:eastAsia="方正仿宋简体" w:cs="Times New Roman"/>
          <w:color w:val="auto"/>
          <w:sz w:val="32"/>
          <w:szCs w:val="32"/>
          <w:lang w:val="en-US" w:eastAsia="zh-CN"/>
        </w:rPr>
        <w:t>1.3</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全年全省居民消费价格比上年上涨</w:t>
      </w:r>
      <w:r>
        <w:rPr>
          <w:rFonts w:hint="default" w:ascii="Times New Roman" w:hAnsi="Times New Roman" w:eastAsia="方正仿宋简体" w:cs="Times New Roman"/>
          <w:color w:val="auto"/>
          <w:sz w:val="32"/>
          <w:szCs w:val="32"/>
          <w:lang w:val="en"/>
        </w:rPr>
        <w:t>0.3</w:t>
      </w:r>
      <w:r>
        <w:rPr>
          <w:rFonts w:hint="default" w:ascii="Times New Roman" w:hAnsi="Times New Roman" w:eastAsia="方正仿宋简体" w:cs="Times New Roman"/>
          <w:color w:val="auto"/>
          <w:sz w:val="32"/>
          <w:szCs w:val="32"/>
        </w:rPr>
        <w:t>%，其中食品价格上涨</w:t>
      </w:r>
      <w:r>
        <w:rPr>
          <w:rFonts w:hint="default" w:ascii="Times New Roman" w:hAnsi="Times New Roman" w:eastAsia="方正仿宋简体" w:cs="Times New Roman"/>
          <w:color w:val="auto"/>
          <w:sz w:val="32"/>
          <w:szCs w:val="32"/>
          <w:lang w:val="en"/>
        </w:rPr>
        <w:t>0.4</w:t>
      </w:r>
      <w:r>
        <w:rPr>
          <w:rFonts w:hint="default" w:ascii="Times New Roman" w:hAnsi="Times New Roman" w:eastAsia="方正仿宋简体" w:cs="Times New Roman"/>
          <w:color w:val="auto"/>
          <w:sz w:val="32"/>
          <w:szCs w:val="32"/>
        </w:rPr>
        <w:t>%。工业生产者出厂价格</w:t>
      </w:r>
      <w:r>
        <w:rPr>
          <w:rFonts w:hint="default" w:ascii="Times New Roman" w:hAnsi="Times New Roman" w:eastAsia="方正仿宋简体" w:cs="Times New Roman"/>
          <w:color w:val="auto"/>
          <w:sz w:val="32"/>
          <w:szCs w:val="32"/>
          <w:lang w:eastAsia="zh-CN"/>
        </w:rPr>
        <w:t>下降</w:t>
      </w:r>
      <w:r>
        <w:rPr>
          <w:rFonts w:hint="default" w:ascii="Times New Roman" w:hAnsi="Times New Roman" w:eastAsia="方正仿宋简体" w:cs="Times New Roman"/>
          <w:color w:val="auto"/>
          <w:sz w:val="32"/>
          <w:szCs w:val="32"/>
          <w:lang w:val="en-US" w:eastAsia="zh-CN"/>
        </w:rPr>
        <w:t>3.3%</w:t>
      </w:r>
      <w:r>
        <w:rPr>
          <w:rFonts w:hint="default" w:ascii="Times New Roman" w:hAnsi="Times New Roman" w:eastAsia="方正仿宋简体" w:cs="Times New Roman"/>
          <w:color w:val="auto"/>
          <w:sz w:val="32"/>
          <w:szCs w:val="32"/>
        </w:rPr>
        <w:t>，工业生产者购进价格</w:t>
      </w:r>
      <w:r>
        <w:rPr>
          <w:rFonts w:hint="default" w:ascii="Times New Roman" w:hAnsi="Times New Roman" w:eastAsia="方正仿宋简体" w:cs="Times New Roman"/>
          <w:color w:val="auto"/>
          <w:sz w:val="32"/>
          <w:szCs w:val="32"/>
          <w:lang w:eastAsia="zh-CN"/>
        </w:rPr>
        <w:t>下降</w:t>
      </w:r>
      <w:r>
        <w:rPr>
          <w:rFonts w:hint="default" w:ascii="Times New Roman" w:hAnsi="Times New Roman" w:eastAsia="方正仿宋简体" w:cs="Times New Roman"/>
          <w:color w:val="auto"/>
          <w:sz w:val="32"/>
          <w:szCs w:val="32"/>
          <w:lang w:val="en-US" w:eastAsia="zh-CN"/>
        </w:rPr>
        <w:t>3.2</w:t>
      </w:r>
      <w:r>
        <w:rPr>
          <w:rFonts w:hint="default" w:ascii="Times New Roman" w:hAnsi="Times New Roman" w:eastAsia="方正仿宋简体" w:cs="Times New Roman"/>
          <w:color w:val="auto"/>
          <w:sz w:val="32"/>
          <w:szCs w:val="32"/>
        </w:rPr>
        <w:t>%。农产品生产者价格</w:t>
      </w:r>
      <w:r>
        <w:rPr>
          <w:rFonts w:hint="default" w:ascii="Times New Roman" w:hAnsi="Times New Roman" w:eastAsia="方正仿宋简体" w:cs="Times New Roman"/>
          <w:color w:val="auto"/>
          <w:sz w:val="32"/>
          <w:szCs w:val="32"/>
          <w:lang w:eastAsia="zh-CN"/>
        </w:rPr>
        <w:t>下降</w:t>
      </w:r>
      <w:r>
        <w:rPr>
          <w:rFonts w:hint="default" w:ascii="Times New Roman" w:hAnsi="Times New Roman" w:eastAsia="方正仿宋简体" w:cs="Times New Roman"/>
          <w:color w:val="auto"/>
          <w:sz w:val="32"/>
          <w:szCs w:val="32"/>
          <w:lang w:val="en-US" w:eastAsia="zh-CN"/>
        </w:rPr>
        <w:t>1.2</w:t>
      </w:r>
      <w:r>
        <w:rPr>
          <w:rFonts w:hint="default" w:ascii="Times New Roman" w:hAnsi="Times New Roman" w:eastAsia="方正仿宋简体" w:cs="Times New Roman"/>
          <w:color w:val="auto"/>
          <w:sz w:val="32"/>
          <w:szCs w:val="32"/>
        </w:rPr>
        <w:t>%。</w:t>
      </w:r>
    </w:p>
    <w:p>
      <w:pPr>
        <w:pStyle w:val="2"/>
        <w:spacing w:line="240" w:lineRule="auto"/>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4792980" cy="2879725"/>
            <wp:effectExtent l="0" t="0" r="7620" b="15875"/>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9"/>
                    <a:stretch>
                      <a:fillRect/>
                    </a:stretch>
                  </pic:blipFill>
                  <pic:spPr>
                    <a:xfrm>
                      <a:off x="0" y="0"/>
                      <a:ext cx="4792980" cy="287972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方正黑体简体" w:cs="Times New Roman"/>
          <w:sz w:val="28"/>
          <w:szCs w:val="28"/>
        </w:rPr>
      </w:pPr>
      <w:r>
        <w:rPr>
          <w:rFonts w:hint="default" w:ascii="Times New Roman" w:hAnsi="Times New Roman" w:eastAsia="方正黑体简体" w:cs="Times New Roman"/>
          <w:sz w:val="28"/>
          <w:szCs w:val="28"/>
        </w:rPr>
        <w:t>表2  2023年云南居民消费价格比上年涨跌幅度</w:t>
      </w:r>
      <w:r>
        <w:rPr>
          <w:rStyle w:val="14"/>
          <w:rFonts w:hint="default" w:ascii="Times New Roman" w:hAnsi="Times New Roman" w:eastAsia="方正黑体简体" w:cs="Times New Roman"/>
          <w:sz w:val="28"/>
          <w:szCs w:val="28"/>
        </w:rPr>
        <w:t>[</w:t>
      </w:r>
      <w:r>
        <w:rPr>
          <w:rStyle w:val="14"/>
          <w:rFonts w:hint="default" w:ascii="Times New Roman" w:hAnsi="Times New Roman" w:eastAsia="方正黑体简体" w:cs="Times New Roman"/>
          <w:sz w:val="28"/>
          <w:szCs w:val="28"/>
        </w:rPr>
        <w:endnoteReference w:id="5"/>
      </w:r>
      <w:r>
        <w:rPr>
          <w:rStyle w:val="14"/>
          <w:rFonts w:hint="default" w:ascii="Times New Roman" w:hAnsi="Times New Roman" w:eastAsia="方正黑体简体" w:cs="Times New Roman"/>
          <w:sz w:val="28"/>
          <w:szCs w:val="28"/>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27" w:firstLineChars="196"/>
        <w:jc w:val="center"/>
        <w:rPr>
          <w:rFonts w:hint="default" w:ascii="Times New Roman" w:hAnsi="Times New Roman" w:cs="Times New Roman"/>
          <w:kern w:val="0"/>
          <w:sz w:val="24"/>
          <w:szCs w:val="24"/>
        </w:rPr>
      </w:pPr>
      <w:r>
        <w:rPr>
          <w:rFonts w:hint="default" w:ascii="Times New Roman" w:hAnsi="Times New Roman" w:cs="Times New Roman"/>
          <w:kern w:val="0"/>
          <w:sz w:val="32"/>
          <w:szCs w:val="32"/>
        </w:rPr>
        <w:t xml:space="preserve">                                 </w:t>
      </w:r>
      <w:r>
        <w:rPr>
          <w:rFonts w:hint="default" w:ascii="Times New Roman" w:hAnsi="Times New Roman" w:cs="Times New Roman"/>
          <w:kern w:val="0"/>
          <w:sz w:val="24"/>
          <w:szCs w:val="24"/>
        </w:rPr>
        <w:t>单位：%</w:t>
      </w:r>
    </w:p>
    <w:tbl>
      <w:tblPr>
        <w:tblStyle w:val="12"/>
        <w:tblW w:w="7496" w:type="dxa"/>
        <w:jc w:val="center"/>
        <w:tblLayout w:type="fixed"/>
        <w:tblCellMar>
          <w:top w:w="0" w:type="dxa"/>
          <w:left w:w="108" w:type="dxa"/>
          <w:bottom w:w="0" w:type="dxa"/>
          <w:right w:w="108" w:type="dxa"/>
        </w:tblCellMar>
      </w:tblPr>
      <w:tblGrid>
        <w:gridCol w:w="2516"/>
        <w:gridCol w:w="1738"/>
        <w:gridCol w:w="1551"/>
        <w:gridCol w:w="1691"/>
      </w:tblGrid>
      <w:tr>
        <w:tblPrEx>
          <w:tblCellMar>
            <w:top w:w="0" w:type="dxa"/>
            <w:left w:w="108" w:type="dxa"/>
            <w:bottom w:w="0" w:type="dxa"/>
            <w:right w:w="108" w:type="dxa"/>
          </w:tblCellMar>
        </w:tblPrEx>
        <w:trPr>
          <w:trHeight w:val="285" w:hRule="atLeast"/>
          <w:jc w:val="center"/>
        </w:trPr>
        <w:tc>
          <w:tcPr>
            <w:tcW w:w="2516" w:type="dxa"/>
            <w:vMerge w:val="restart"/>
            <w:tcBorders>
              <w:top w:val="single" w:color="auto" w:sz="12" w:space="0"/>
              <w:left w:val="nil"/>
              <w:bottom w:val="single" w:color="auto" w:sz="4" w:space="0"/>
              <w:right w:val="single" w:color="auto" w:sz="8"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rPr>
                <w:rFonts w:hint="eastAsia" w:ascii="方正黑体简体" w:hAnsi="方正黑体简体" w:eastAsia="方正黑体简体" w:cs="方正黑体简体"/>
                <w:b w:val="0"/>
                <w:bCs w:val="0"/>
                <w:kern w:val="0"/>
                <w:sz w:val="22"/>
              </w:rPr>
            </w:pPr>
            <w:r>
              <w:rPr>
                <w:rFonts w:hint="eastAsia" w:ascii="方正黑体简体" w:hAnsi="方正黑体简体" w:eastAsia="方正黑体简体" w:cs="方正黑体简体"/>
                <w:b w:val="0"/>
                <w:bCs w:val="0"/>
                <w:kern w:val="0"/>
                <w:sz w:val="22"/>
              </w:rPr>
              <w:t>指  标</w:t>
            </w:r>
          </w:p>
        </w:tc>
        <w:tc>
          <w:tcPr>
            <w:tcW w:w="1738" w:type="dxa"/>
            <w:vMerge w:val="restart"/>
            <w:tcBorders>
              <w:top w:val="single" w:color="auto" w:sz="12" w:space="0"/>
              <w:left w:val="single" w:color="auto" w:sz="8" w:space="0"/>
              <w:bottom w:val="single" w:color="auto" w:sz="4" w:space="0"/>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rPr>
                <w:rFonts w:hint="eastAsia" w:ascii="方正黑体简体" w:hAnsi="方正黑体简体" w:eastAsia="方正黑体简体" w:cs="方正黑体简体"/>
                <w:b w:val="0"/>
                <w:bCs w:val="0"/>
                <w:kern w:val="0"/>
                <w:sz w:val="22"/>
              </w:rPr>
            </w:pPr>
            <w:r>
              <w:rPr>
                <w:rFonts w:hint="eastAsia" w:ascii="方正黑体简体" w:hAnsi="方正黑体简体" w:eastAsia="方正黑体简体" w:cs="方正黑体简体"/>
                <w:b w:val="0"/>
                <w:bCs w:val="0"/>
                <w:kern w:val="0"/>
                <w:sz w:val="22"/>
              </w:rPr>
              <w:t>全  省</w:t>
            </w:r>
          </w:p>
        </w:tc>
        <w:tc>
          <w:tcPr>
            <w:tcW w:w="3242" w:type="dxa"/>
            <w:gridSpan w:val="2"/>
            <w:tcBorders>
              <w:top w:val="single" w:color="auto" w:sz="12" w:space="0"/>
              <w:left w:val="nil"/>
              <w:bottom w:val="single" w:color="auto" w:sz="4" w:space="0"/>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rPr>
                <w:rFonts w:hint="eastAsia" w:ascii="方正黑体简体" w:hAnsi="方正黑体简体" w:eastAsia="方正黑体简体" w:cs="方正黑体简体"/>
                <w:b w:val="0"/>
                <w:bCs w:val="0"/>
                <w:kern w:val="0"/>
                <w:sz w:val="22"/>
              </w:rPr>
            </w:pPr>
          </w:p>
        </w:tc>
      </w:tr>
      <w:tr>
        <w:tblPrEx>
          <w:tblCellMar>
            <w:top w:w="0" w:type="dxa"/>
            <w:left w:w="108" w:type="dxa"/>
            <w:bottom w:w="0" w:type="dxa"/>
            <w:right w:w="108" w:type="dxa"/>
          </w:tblCellMar>
        </w:tblPrEx>
        <w:trPr>
          <w:trHeight w:val="285" w:hRule="atLeast"/>
          <w:jc w:val="center"/>
        </w:trPr>
        <w:tc>
          <w:tcPr>
            <w:tcW w:w="251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rPr>
                <w:rFonts w:hint="default" w:ascii="Times New Roman" w:hAnsi="Times New Roman" w:cs="Times New Roman"/>
                <w:b/>
                <w:bCs/>
                <w:kern w:val="0"/>
                <w:sz w:val="22"/>
              </w:rPr>
            </w:pPr>
          </w:p>
        </w:tc>
        <w:tc>
          <w:tcPr>
            <w:tcW w:w="1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rPr>
                <w:rFonts w:hint="default" w:ascii="Times New Roman" w:hAnsi="Times New Roman" w:cs="Times New Roman"/>
                <w:b/>
                <w:bCs/>
                <w:kern w:val="0"/>
                <w:sz w:val="22"/>
              </w:rPr>
            </w:pPr>
          </w:p>
        </w:tc>
        <w:tc>
          <w:tcPr>
            <w:tcW w:w="1551" w:type="dxa"/>
            <w:tcBorders>
              <w:top w:val="single" w:color="auto" w:sz="4" w:space="0"/>
              <w:left w:val="single" w:color="auto" w:sz="4" w:space="0"/>
              <w:bottom w:val="single" w:color="auto" w:sz="4" w:space="0"/>
              <w:right w:val="single" w:color="auto" w:sz="4" w:space="0"/>
            </w:tcBorders>
            <w:shd w:val="clear" w:color="000000" w:fill="FFFFFF"/>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rPr>
                <w:rFonts w:hint="eastAsia" w:ascii="方正黑体简体" w:hAnsi="方正黑体简体" w:eastAsia="方正黑体简体" w:cs="方正黑体简体"/>
                <w:b w:val="0"/>
                <w:bCs w:val="0"/>
                <w:kern w:val="0"/>
                <w:sz w:val="22"/>
              </w:rPr>
            </w:pPr>
            <w:r>
              <w:rPr>
                <w:rFonts w:hint="eastAsia" w:ascii="方正黑体简体" w:hAnsi="方正黑体简体" w:eastAsia="方正黑体简体" w:cs="方正黑体简体"/>
                <w:b w:val="0"/>
                <w:bCs w:val="0"/>
                <w:kern w:val="0"/>
                <w:sz w:val="22"/>
              </w:rPr>
              <w:t>城  市</w:t>
            </w:r>
          </w:p>
        </w:tc>
        <w:tc>
          <w:tcPr>
            <w:tcW w:w="1691" w:type="dxa"/>
            <w:tcBorders>
              <w:top w:val="single" w:color="auto" w:sz="4" w:space="0"/>
              <w:left w:val="single" w:color="auto" w:sz="4" w:space="0"/>
              <w:bottom w:val="single" w:color="auto" w:sz="4" w:space="0"/>
              <w:right w:val="nil"/>
            </w:tcBorders>
            <w:shd w:val="clear" w:color="000000" w:fill="FFFFFF"/>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rPr>
                <w:rFonts w:hint="eastAsia" w:ascii="方正黑体简体" w:hAnsi="方正黑体简体" w:eastAsia="方正黑体简体" w:cs="方正黑体简体"/>
                <w:b w:val="0"/>
                <w:bCs w:val="0"/>
                <w:kern w:val="0"/>
                <w:sz w:val="22"/>
              </w:rPr>
            </w:pPr>
            <w:r>
              <w:rPr>
                <w:rFonts w:hint="eastAsia" w:ascii="方正黑体简体" w:hAnsi="方正黑体简体" w:eastAsia="方正黑体简体" w:cs="方正黑体简体"/>
                <w:b w:val="0"/>
                <w:bCs w:val="0"/>
                <w:kern w:val="0"/>
                <w:sz w:val="22"/>
              </w:rPr>
              <w:t>农  村</w:t>
            </w:r>
          </w:p>
        </w:tc>
      </w:tr>
      <w:tr>
        <w:tblPrEx>
          <w:tblCellMar>
            <w:top w:w="0" w:type="dxa"/>
            <w:left w:w="108" w:type="dxa"/>
            <w:bottom w:w="0" w:type="dxa"/>
            <w:right w:w="108" w:type="dxa"/>
          </w:tblCellMar>
        </w:tblPrEx>
        <w:trPr>
          <w:trHeight w:val="397" w:hRule="atLeast"/>
          <w:jc w:val="center"/>
        </w:trPr>
        <w:tc>
          <w:tcPr>
            <w:tcW w:w="2516" w:type="dxa"/>
            <w:tcBorders>
              <w:top w:val="single" w:color="auto" w:sz="4" w:space="0"/>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rPr>
                <w:rFonts w:hint="default" w:ascii="Times New Roman" w:hAnsi="Times New Roman" w:cs="Times New Roman"/>
                <w:b/>
                <w:bCs/>
                <w:kern w:val="0"/>
                <w:sz w:val="22"/>
              </w:rPr>
            </w:pPr>
            <w:r>
              <w:rPr>
                <w:rFonts w:hint="default" w:ascii="Times New Roman" w:hAnsi="Times New Roman" w:cs="Times New Roman"/>
                <w:b/>
                <w:bCs/>
                <w:kern w:val="0"/>
                <w:sz w:val="22"/>
              </w:rPr>
              <w:t>居民消费价格指数</w:t>
            </w:r>
          </w:p>
        </w:tc>
        <w:tc>
          <w:tcPr>
            <w:tcW w:w="1738" w:type="dxa"/>
            <w:tcBorders>
              <w:top w:val="single" w:color="auto" w:sz="4" w:space="0"/>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0.3</w:t>
            </w:r>
          </w:p>
        </w:tc>
        <w:tc>
          <w:tcPr>
            <w:tcW w:w="1551" w:type="dxa"/>
            <w:tcBorders>
              <w:top w:val="single" w:color="auto" w:sz="4" w:space="0"/>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0.5</w:t>
            </w:r>
          </w:p>
        </w:tc>
        <w:tc>
          <w:tcPr>
            <w:tcW w:w="1691" w:type="dxa"/>
            <w:tcBorders>
              <w:top w:val="single" w:color="auto" w:sz="4" w:space="0"/>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-0.1</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食品烟酒</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0.9</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1.1</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0.5</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粮食</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0.9</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w:t>
            </w:r>
            <w:r>
              <w:rPr>
                <w:rFonts w:hint="eastAsia" w:ascii="Times New Roman" w:hAnsi="Times New Roman" w:cs="Times New Roman"/>
                <w:i w:val="0"/>
                <w:color w:val="000000" w:themeColor="text1"/>
                <w:kern w:val="0"/>
                <w:sz w:val="22"/>
                <w:szCs w:val="22"/>
                <w:u w:val="none"/>
                <w:lang w:val="en-US" w:eastAsia="zh-CN" w:bidi="ar"/>
                <w14:textFill>
                  <w14:solidFill>
                    <w14:schemeClr w14:val="tx1"/>
                  </w14:solidFill>
                </w14:textFill>
              </w:rPr>
              <w:t>.0</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0.9</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食用油  </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-1.8</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-1.4</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-2.3</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畜肉类</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-5.8</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-5.6</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-6.2</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衣着</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0.5</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0.6</w:t>
            </w:r>
          </w:p>
        </w:tc>
      </w:tr>
      <w:tr>
        <w:tblPrEx>
          <w:tblCellMar>
            <w:top w:w="0" w:type="dxa"/>
            <w:left w:w="108" w:type="dxa"/>
            <w:bottom w:w="0" w:type="dxa"/>
            <w:right w:w="108" w:type="dxa"/>
          </w:tblCellMar>
        </w:tblPrEx>
        <w:trPr>
          <w:trHeight w:val="90"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居住</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0.3</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生活用品及服务</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0.2</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-0.4</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交通通信</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-2.8</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-2.4</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-3.4</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教育文化娱乐</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2.2</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2.5</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1.4</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医疗保健</w:t>
            </w:r>
          </w:p>
        </w:tc>
        <w:tc>
          <w:tcPr>
            <w:tcW w:w="1738"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0.7</w:t>
            </w:r>
          </w:p>
        </w:tc>
        <w:tc>
          <w:tcPr>
            <w:tcW w:w="1551" w:type="dxa"/>
            <w:tcBorders>
              <w:top w:val="nil"/>
              <w:left w:val="single" w:color="auto" w:sz="4" w:space="0"/>
              <w:bottom w:val="nil"/>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0.9</w:t>
            </w:r>
          </w:p>
        </w:tc>
        <w:tc>
          <w:tcPr>
            <w:tcW w:w="1691" w:type="dxa"/>
            <w:tcBorders>
              <w:top w:val="nil"/>
              <w:left w:val="single" w:color="auto" w:sz="4" w:space="0"/>
              <w:bottom w:val="nil"/>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0.3</w:t>
            </w:r>
          </w:p>
        </w:tc>
      </w:tr>
      <w:tr>
        <w:tblPrEx>
          <w:tblCellMar>
            <w:top w:w="0" w:type="dxa"/>
            <w:left w:w="108" w:type="dxa"/>
            <w:bottom w:w="0" w:type="dxa"/>
            <w:right w:w="108" w:type="dxa"/>
          </w:tblCellMar>
        </w:tblPrEx>
        <w:trPr>
          <w:trHeight w:val="397" w:hRule="atLeast"/>
          <w:jc w:val="center"/>
        </w:trPr>
        <w:tc>
          <w:tcPr>
            <w:tcW w:w="2516" w:type="dxa"/>
            <w:tcBorders>
              <w:top w:val="nil"/>
              <w:left w:val="nil"/>
              <w:bottom w:val="single" w:color="auto" w:sz="12" w:space="0"/>
              <w:right w:val="single" w:color="auto" w:sz="4" w:space="0"/>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rPr>
                <w:rFonts w:hint="default" w:ascii="Times New Roman" w:hAnsi="Times New Roman" w:cs="Times New Roman"/>
                <w:kern w:val="0"/>
                <w:sz w:val="22"/>
              </w:rPr>
            </w:pPr>
            <w:r>
              <w:rPr>
                <w:rFonts w:hint="default" w:ascii="Times New Roman" w:hAnsi="Times New Roman" w:cs="Times New Roman"/>
                <w:kern w:val="0"/>
                <w:sz w:val="22"/>
              </w:rPr>
              <w:t xml:space="preserve"> 其他用品及服务</w:t>
            </w:r>
          </w:p>
        </w:tc>
        <w:tc>
          <w:tcPr>
            <w:tcW w:w="1738" w:type="dxa"/>
            <w:tcBorders>
              <w:top w:val="nil"/>
              <w:left w:val="single" w:color="auto" w:sz="4" w:space="0"/>
              <w:bottom w:val="single" w:color="auto" w:sz="12" w:space="0"/>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4"/>
                <w:szCs w:val="24"/>
                <w:u w:val="none"/>
                <w:lang w:val="en-US" w:eastAsia="zh-CN" w:bidi="ar"/>
                <w14:textFill>
                  <w14:solidFill>
                    <w14:schemeClr w14:val="tx1"/>
                  </w14:solidFill>
                </w14:textFill>
              </w:rPr>
              <w:t>3.0</w:t>
            </w:r>
          </w:p>
        </w:tc>
        <w:tc>
          <w:tcPr>
            <w:tcW w:w="1551" w:type="dxa"/>
            <w:tcBorders>
              <w:top w:val="nil"/>
              <w:left w:val="single" w:color="auto" w:sz="4" w:space="0"/>
              <w:bottom w:val="single" w:color="auto" w:sz="12" w:space="0"/>
              <w:right w:val="single" w:color="auto" w:sz="4" w:space="0"/>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3.4</w:t>
            </w:r>
          </w:p>
        </w:tc>
        <w:tc>
          <w:tcPr>
            <w:tcW w:w="1691" w:type="dxa"/>
            <w:tcBorders>
              <w:top w:val="nil"/>
              <w:left w:val="single" w:color="auto" w:sz="4" w:space="0"/>
              <w:bottom w:val="single" w:color="auto" w:sz="12" w:space="0"/>
              <w:right w:val="nil"/>
            </w:tcBorders>
            <w:tcMar>
              <w:top w:w="0" w:type="dxa"/>
              <w:left w:w="108" w:type="dxa"/>
              <w:bottom w:w="0" w:type="dxa"/>
              <w:right w:w="334"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jc w:val="right"/>
              <w:textAlignment w:val="center"/>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eastAsia="宋体" w:cs="Times New Roman"/>
                <w:i w:val="0"/>
                <w:color w:val="000000" w:themeColor="text1"/>
                <w:kern w:val="0"/>
                <w:sz w:val="22"/>
                <w:szCs w:val="22"/>
                <w:u w:val="none"/>
                <w:lang w:val="en-US" w:eastAsia="zh-CN" w:bidi="ar"/>
                <w14:textFill>
                  <w14:solidFill>
                    <w14:schemeClr w14:val="tx1"/>
                  </w14:solidFill>
                </w14:textFill>
              </w:rPr>
              <w:t>1.8</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二、民营经济</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简体" w:cs="Times New Roman"/>
          <w:color w:val="auto"/>
          <w:sz w:val="32"/>
          <w:szCs w:val="32"/>
        </w:rPr>
        <w:t>全省民营经济实现增加值</w:t>
      </w:r>
      <w:r>
        <w:rPr>
          <w:rFonts w:hint="default" w:ascii="Times New Roman" w:hAnsi="Times New Roman" w:eastAsia="方正仿宋简体" w:cs="Times New Roman"/>
          <w:color w:val="auto"/>
          <w:sz w:val="32"/>
          <w:szCs w:val="32"/>
          <w:lang w:val="en-US" w:eastAsia="zh-CN"/>
        </w:rPr>
        <w:t>15700.92</w:t>
      </w:r>
      <w:r>
        <w:rPr>
          <w:rFonts w:hint="default" w:ascii="Times New Roman" w:hAnsi="Times New Roman" w:eastAsia="方正仿宋简体" w:cs="Times New Roman"/>
          <w:color w:val="auto"/>
          <w:sz w:val="32"/>
          <w:szCs w:val="32"/>
        </w:rPr>
        <w:t>亿元，</w:t>
      </w:r>
      <w:r>
        <w:rPr>
          <w:rFonts w:hint="eastAsia" w:ascii="Times New Roman" w:hAnsi="Times New Roman" w:eastAsia="方正仿宋简体" w:cs="Times New Roman"/>
          <w:color w:val="auto"/>
          <w:sz w:val="32"/>
          <w:szCs w:val="32"/>
          <w:lang w:eastAsia="zh-CN"/>
        </w:rPr>
        <w:t>比上年</w:t>
      </w:r>
      <w:r>
        <w:rPr>
          <w:rFonts w:hint="default" w:ascii="Times New Roman" w:hAnsi="Times New Roman" w:eastAsia="仿宋_GB2312" w:cs="Times New Roman"/>
          <w:color w:val="auto"/>
          <w:sz w:val="32"/>
          <w:szCs w:val="32"/>
        </w:rPr>
        <w:t>增长</w:t>
      </w:r>
      <w:r>
        <w:rPr>
          <w:rFonts w:hint="default" w:ascii="Times New Roman" w:hAnsi="Times New Roman" w:eastAsia="方正仿宋简体" w:cs="Times New Roman"/>
          <w:color w:val="auto"/>
          <w:sz w:val="32"/>
          <w:szCs w:val="32"/>
          <w:lang w:val="en-US" w:eastAsia="zh-CN"/>
        </w:rPr>
        <w:t>5.1</w:t>
      </w:r>
      <w:r>
        <w:rPr>
          <w:rFonts w:hint="default" w:ascii="Times New Roman" w:hAnsi="Times New Roman" w:eastAsia="仿宋_GB2312" w:cs="Times New Roman"/>
          <w:color w:val="auto"/>
          <w:sz w:val="32"/>
          <w:szCs w:val="32"/>
        </w:rPr>
        <w:t>%，</w:t>
      </w:r>
      <w:r>
        <w:rPr>
          <w:rFonts w:hint="default" w:ascii="Times New Roman" w:hAnsi="Times New Roman" w:eastAsia="方正仿宋简体" w:cs="Times New Roman"/>
          <w:color w:val="auto"/>
          <w:sz w:val="32"/>
          <w:szCs w:val="32"/>
        </w:rPr>
        <w:t>占全省地区生产总值比重为</w:t>
      </w:r>
      <w:r>
        <w:rPr>
          <w:rFonts w:hint="default" w:ascii="Times New Roman" w:hAnsi="Times New Roman" w:eastAsia="方正仿宋简体" w:cs="Times New Roman"/>
          <w:color w:val="auto"/>
          <w:sz w:val="32"/>
          <w:szCs w:val="32"/>
          <w:lang w:val="en-US" w:eastAsia="zh-CN"/>
        </w:rPr>
        <w:t>52.3</w:t>
      </w:r>
      <w:r>
        <w:rPr>
          <w:rFonts w:hint="default" w:ascii="Times New Roman" w:hAnsi="Times New Roman" w:eastAsia="方正仿宋简体" w:cs="Times New Roman"/>
          <w:color w:val="auto"/>
          <w:sz w:val="32"/>
          <w:szCs w:val="32"/>
        </w:rPr>
        <w:t>%，比上年提高</w:t>
      </w:r>
      <w:r>
        <w:rPr>
          <w:rFonts w:hint="default" w:ascii="Times New Roman" w:hAnsi="Times New Roman" w:eastAsia="方正仿宋简体" w:cs="Times New Roman"/>
          <w:color w:val="auto"/>
          <w:sz w:val="32"/>
          <w:szCs w:val="32"/>
          <w:lang w:val="en-US" w:eastAsia="zh-CN"/>
        </w:rPr>
        <w:t>0.5</w:t>
      </w:r>
      <w:r>
        <w:rPr>
          <w:rFonts w:hint="default" w:ascii="Times New Roman" w:hAnsi="Times New Roman" w:eastAsia="方正仿宋简体" w:cs="Times New Roman"/>
          <w:color w:val="auto"/>
          <w:sz w:val="32"/>
          <w:szCs w:val="32"/>
        </w:rPr>
        <w:t>个百分点。其中，第一产业增加值</w:t>
      </w:r>
      <w:r>
        <w:rPr>
          <w:rFonts w:hint="default" w:ascii="Times New Roman" w:hAnsi="Times New Roman" w:eastAsia="方正仿宋简体" w:cs="Times New Roman"/>
          <w:color w:val="auto"/>
          <w:sz w:val="32"/>
          <w:szCs w:val="32"/>
          <w:lang w:val="en-US" w:eastAsia="zh-CN"/>
        </w:rPr>
        <w:t>3490.00</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4.4</w:t>
      </w:r>
      <w:r>
        <w:rPr>
          <w:rFonts w:hint="default" w:ascii="Times New Roman" w:hAnsi="Times New Roman" w:eastAsia="方正仿宋简体" w:cs="Times New Roman"/>
          <w:color w:val="auto"/>
          <w:sz w:val="32"/>
          <w:szCs w:val="32"/>
        </w:rPr>
        <w:t>%；第二产业增加值</w:t>
      </w:r>
      <w:r>
        <w:rPr>
          <w:rFonts w:hint="default" w:ascii="Times New Roman" w:hAnsi="Times New Roman" w:eastAsia="方正仿宋简体" w:cs="Times New Roman"/>
          <w:color w:val="auto"/>
          <w:sz w:val="32"/>
          <w:szCs w:val="32"/>
          <w:lang w:val="en-US" w:eastAsia="zh-CN"/>
        </w:rPr>
        <w:t>4672.34</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3.0</w:t>
      </w:r>
      <w:r>
        <w:rPr>
          <w:rFonts w:hint="default" w:ascii="Times New Roman" w:hAnsi="Times New Roman" w:eastAsia="方正仿宋简体" w:cs="Times New Roman"/>
          <w:color w:val="auto"/>
          <w:sz w:val="32"/>
          <w:szCs w:val="32"/>
        </w:rPr>
        <w:t>%；第三产业增加值</w:t>
      </w:r>
      <w:r>
        <w:rPr>
          <w:rFonts w:hint="default" w:ascii="Times New Roman" w:hAnsi="Times New Roman" w:eastAsia="方正仿宋简体" w:cs="Times New Roman"/>
          <w:color w:val="auto"/>
          <w:sz w:val="32"/>
          <w:szCs w:val="32"/>
          <w:lang w:val="en-US" w:eastAsia="zh-CN"/>
        </w:rPr>
        <w:t>7538.58</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6.7</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bCs w:val="0"/>
          <w:color w:val="auto"/>
          <w:sz w:val="32"/>
          <w:szCs w:val="32"/>
        </w:rPr>
      </w:pPr>
      <w:r>
        <w:rPr>
          <w:rFonts w:hint="default" w:ascii="Times New Roman" w:hAnsi="Times New Roman" w:eastAsia="方正仿宋简体" w:cs="Times New Roman"/>
          <w:bCs w:val="0"/>
          <w:color w:val="auto"/>
          <w:sz w:val="32"/>
          <w:szCs w:val="32"/>
        </w:rPr>
        <w:t>截至2023年12月末，全省新登记民营经济经营主体</w:t>
      </w:r>
      <w:r>
        <w:rPr>
          <w:rFonts w:hint="default" w:ascii="Times New Roman" w:hAnsi="Times New Roman" w:eastAsia="方正仿宋简体" w:cs="Times New Roman"/>
          <w:bCs w:val="0"/>
          <w:color w:val="auto"/>
          <w:sz w:val="32"/>
          <w:szCs w:val="32"/>
          <w:lang w:val="en-US" w:eastAsia="zh-CN"/>
        </w:rPr>
        <w:t>180.05</w:t>
      </w:r>
      <w:r>
        <w:rPr>
          <w:rFonts w:hint="default" w:ascii="Times New Roman" w:hAnsi="Times New Roman" w:eastAsia="方正仿宋简体" w:cs="Times New Roman"/>
          <w:bCs w:val="0"/>
          <w:color w:val="auto"/>
          <w:sz w:val="32"/>
          <w:szCs w:val="32"/>
        </w:rPr>
        <w:t>万户，增长</w:t>
      </w:r>
      <w:r>
        <w:rPr>
          <w:rFonts w:hint="default" w:ascii="Times New Roman" w:hAnsi="Times New Roman" w:eastAsia="方正仿宋简体" w:cs="Times New Roman"/>
          <w:bCs w:val="0"/>
          <w:color w:val="auto"/>
          <w:sz w:val="32"/>
          <w:szCs w:val="32"/>
          <w:lang w:val="en-US" w:eastAsia="zh-CN"/>
        </w:rPr>
        <w:t>70.58</w:t>
      </w:r>
      <w:r>
        <w:rPr>
          <w:rFonts w:hint="default" w:ascii="Times New Roman" w:hAnsi="Times New Roman" w:eastAsia="方正仿宋简体" w:cs="Times New Roman"/>
          <w:bCs w:val="0"/>
          <w:color w:val="auto"/>
          <w:sz w:val="32"/>
          <w:szCs w:val="32"/>
        </w:rPr>
        <w:t>%，累计达</w:t>
      </w:r>
      <w:r>
        <w:rPr>
          <w:rFonts w:hint="default" w:ascii="Times New Roman" w:hAnsi="Times New Roman" w:eastAsia="方正仿宋简体" w:cs="Times New Roman"/>
          <w:bCs w:val="0"/>
          <w:color w:val="auto"/>
          <w:sz w:val="32"/>
          <w:szCs w:val="32"/>
          <w:lang w:val="en-US" w:eastAsia="zh-CN"/>
        </w:rPr>
        <w:t>615.48</w:t>
      </w:r>
      <w:r>
        <w:rPr>
          <w:rFonts w:hint="default" w:ascii="Times New Roman" w:hAnsi="Times New Roman" w:eastAsia="方正仿宋简体" w:cs="Times New Roman"/>
          <w:bCs w:val="0"/>
          <w:color w:val="auto"/>
          <w:sz w:val="32"/>
          <w:szCs w:val="32"/>
        </w:rPr>
        <w:t>万户，占全省经营主体的</w:t>
      </w:r>
      <w:r>
        <w:rPr>
          <w:rFonts w:hint="default" w:ascii="Times New Roman" w:hAnsi="Times New Roman" w:eastAsia="方正仿宋简体" w:cs="Times New Roman"/>
          <w:bCs w:val="0"/>
          <w:color w:val="auto"/>
          <w:sz w:val="32"/>
          <w:szCs w:val="32"/>
          <w:lang w:val="en-US" w:eastAsia="zh-CN"/>
        </w:rPr>
        <w:t>97.35</w:t>
      </w:r>
      <w:r>
        <w:rPr>
          <w:rFonts w:hint="default" w:ascii="Times New Roman" w:hAnsi="Times New Roman" w:eastAsia="方正仿宋简体" w:cs="Times New Roman"/>
          <w:bCs w:val="0"/>
          <w:color w:val="auto"/>
          <w:sz w:val="32"/>
          <w:szCs w:val="32"/>
        </w:rPr>
        <w:t>%，占比较2022年末提高</w:t>
      </w:r>
      <w:r>
        <w:rPr>
          <w:rFonts w:hint="default" w:ascii="Times New Roman" w:hAnsi="Times New Roman" w:eastAsia="方正仿宋简体" w:cs="Times New Roman"/>
          <w:bCs w:val="0"/>
          <w:color w:val="auto"/>
          <w:sz w:val="32"/>
          <w:szCs w:val="32"/>
          <w:lang w:val="en-US" w:eastAsia="zh-CN"/>
        </w:rPr>
        <w:t>0.4</w:t>
      </w:r>
      <w:r>
        <w:rPr>
          <w:rFonts w:hint="default" w:ascii="Times New Roman" w:hAnsi="Times New Roman" w:eastAsia="方正仿宋简体" w:cs="Times New Roman"/>
          <w:bCs w:val="0"/>
          <w:color w:val="auto"/>
          <w:sz w:val="32"/>
          <w:szCs w:val="32"/>
        </w:rPr>
        <w:t>个百分点。其中：新登记私营企业</w:t>
      </w:r>
      <w:r>
        <w:rPr>
          <w:rFonts w:hint="default" w:ascii="Times New Roman" w:hAnsi="Times New Roman" w:eastAsia="方正仿宋简体" w:cs="Times New Roman"/>
          <w:bCs w:val="0"/>
          <w:color w:val="auto"/>
          <w:sz w:val="32"/>
          <w:szCs w:val="32"/>
          <w:lang w:val="en-US" w:eastAsia="zh-CN"/>
        </w:rPr>
        <w:t>48.42</w:t>
      </w:r>
      <w:r>
        <w:rPr>
          <w:rFonts w:hint="default" w:ascii="Times New Roman" w:hAnsi="Times New Roman" w:eastAsia="方正仿宋简体" w:cs="Times New Roman"/>
          <w:bCs w:val="0"/>
          <w:color w:val="auto"/>
          <w:sz w:val="32"/>
          <w:szCs w:val="32"/>
        </w:rPr>
        <w:t>万户，增长</w:t>
      </w:r>
      <w:r>
        <w:rPr>
          <w:rFonts w:hint="default" w:ascii="Times New Roman" w:hAnsi="Times New Roman" w:eastAsia="方正仿宋简体" w:cs="Times New Roman"/>
          <w:bCs w:val="0"/>
          <w:color w:val="auto"/>
          <w:sz w:val="32"/>
          <w:szCs w:val="32"/>
          <w:lang w:val="en-US" w:eastAsia="zh-CN"/>
        </w:rPr>
        <w:t>119.48</w:t>
      </w:r>
      <w:r>
        <w:rPr>
          <w:rFonts w:hint="default" w:ascii="Times New Roman" w:hAnsi="Times New Roman" w:eastAsia="方正仿宋简体" w:cs="Times New Roman"/>
          <w:bCs w:val="0"/>
          <w:color w:val="auto"/>
          <w:sz w:val="32"/>
          <w:szCs w:val="32"/>
        </w:rPr>
        <w:t>%，累计达</w:t>
      </w:r>
      <w:r>
        <w:rPr>
          <w:rFonts w:hint="default" w:ascii="Times New Roman" w:hAnsi="Times New Roman" w:eastAsia="方正仿宋简体" w:cs="Times New Roman"/>
          <w:bCs w:val="0"/>
          <w:color w:val="auto"/>
          <w:sz w:val="32"/>
          <w:szCs w:val="32"/>
          <w:lang w:val="en-US" w:eastAsia="zh-CN"/>
        </w:rPr>
        <w:t>131.85</w:t>
      </w:r>
      <w:r>
        <w:rPr>
          <w:rFonts w:hint="default" w:ascii="Times New Roman" w:hAnsi="Times New Roman" w:eastAsia="方正仿宋简体" w:cs="Times New Roman"/>
          <w:bCs w:val="0"/>
          <w:color w:val="auto"/>
          <w:sz w:val="32"/>
          <w:szCs w:val="32"/>
        </w:rPr>
        <w:t>万户。</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三、农  业</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全年农林牧渔业总产值6834.50亿元，比上年增长</w:t>
      </w:r>
      <w:r>
        <w:rPr>
          <w:rFonts w:hint="default" w:ascii="Times New Roman" w:hAnsi="Times New Roman" w:eastAsia="方正仿宋简体" w:cs="Times New Roman"/>
          <w:sz w:val="32"/>
          <w:szCs w:val="32"/>
          <w:lang w:val="en-US" w:eastAsia="zh-CN"/>
        </w:rPr>
        <w:t>4.3</w:t>
      </w:r>
      <w:r>
        <w:rPr>
          <w:rFonts w:hint="default" w:ascii="Times New Roman" w:hAnsi="Times New Roman" w:eastAsia="方正仿宋简体" w:cs="Times New Roman"/>
          <w:sz w:val="32"/>
          <w:szCs w:val="32"/>
        </w:rPr>
        <w:t>%。其中，农业产值4041.84亿元，增长</w:t>
      </w:r>
      <w:r>
        <w:rPr>
          <w:rFonts w:hint="default" w:ascii="Times New Roman" w:hAnsi="Times New Roman" w:eastAsia="方正仿宋简体" w:cs="Times New Roman"/>
          <w:sz w:val="32"/>
          <w:szCs w:val="32"/>
          <w:lang w:val="en-US" w:eastAsia="zh-CN"/>
        </w:rPr>
        <w:t>4.5</w:t>
      </w:r>
      <w:r>
        <w:rPr>
          <w:rFonts w:hint="default" w:ascii="Times New Roman" w:hAnsi="Times New Roman" w:eastAsia="方正仿宋简体" w:cs="Times New Roman"/>
          <w:sz w:val="32"/>
          <w:szCs w:val="32"/>
        </w:rPr>
        <w:t>%；林业产值485.17亿元，增长</w:t>
      </w:r>
      <w:r>
        <w:rPr>
          <w:rFonts w:hint="default" w:ascii="Times New Roman" w:hAnsi="Times New Roman" w:eastAsia="方正仿宋简体" w:cs="Times New Roman"/>
          <w:sz w:val="32"/>
          <w:szCs w:val="32"/>
          <w:lang w:val="en-US" w:eastAsia="zh-CN"/>
        </w:rPr>
        <w:t>7.0</w:t>
      </w:r>
      <w:r>
        <w:rPr>
          <w:rFonts w:hint="default" w:ascii="Times New Roman" w:hAnsi="Times New Roman" w:eastAsia="方正仿宋简体" w:cs="Times New Roman"/>
          <w:sz w:val="32"/>
          <w:szCs w:val="32"/>
        </w:rPr>
        <w:t>%；牧业产值1969.32亿元，增长</w:t>
      </w:r>
      <w:r>
        <w:rPr>
          <w:rFonts w:hint="default" w:ascii="Times New Roman" w:hAnsi="Times New Roman" w:eastAsia="方正仿宋简体" w:cs="Times New Roman"/>
          <w:sz w:val="32"/>
          <w:szCs w:val="32"/>
          <w:lang w:val="en-US" w:eastAsia="zh-CN"/>
        </w:rPr>
        <w:t>3.4</w:t>
      </w:r>
      <w:r>
        <w:rPr>
          <w:rFonts w:hint="default" w:ascii="Times New Roman" w:hAnsi="Times New Roman" w:eastAsia="方正仿宋简体" w:cs="Times New Roman"/>
          <w:sz w:val="32"/>
          <w:szCs w:val="32"/>
        </w:rPr>
        <w:t>%；渔业产值125.37亿元，增长</w:t>
      </w:r>
      <w:r>
        <w:rPr>
          <w:rFonts w:hint="default" w:ascii="Times New Roman" w:hAnsi="Times New Roman" w:eastAsia="方正仿宋简体" w:cs="Times New Roman"/>
          <w:sz w:val="32"/>
          <w:szCs w:val="32"/>
          <w:lang w:val="en-US" w:eastAsia="zh-CN"/>
        </w:rPr>
        <w:t>3.9</w:t>
      </w:r>
      <w:r>
        <w:rPr>
          <w:rFonts w:hint="default" w:ascii="Times New Roman" w:hAnsi="Times New Roman" w:eastAsia="方正仿宋简体" w:cs="Times New Roman"/>
          <w:sz w:val="32"/>
          <w:szCs w:val="32"/>
        </w:rPr>
        <w:t>%；农林牧渔专业及辅助性活动产值212.80亿元，增长</w:t>
      </w:r>
      <w:r>
        <w:rPr>
          <w:rFonts w:hint="default" w:ascii="Times New Roman" w:hAnsi="Times New Roman" w:eastAsia="方正仿宋简体" w:cs="Times New Roman"/>
          <w:sz w:val="32"/>
          <w:szCs w:val="32"/>
          <w:lang w:val="en-US" w:eastAsia="zh-CN"/>
        </w:rPr>
        <w:t>5.5</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全年粮食总产量</w:t>
      </w:r>
      <w:r>
        <w:rPr>
          <w:rStyle w:val="14"/>
          <w:rFonts w:hint="default" w:ascii="Times New Roman" w:hAnsi="Times New Roman" w:eastAsia="仿宋_GB2312" w:cs="Times New Roman"/>
          <w:sz w:val="32"/>
          <w:szCs w:val="32"/>
        </w:rPr>
        <w:t>[</w:t>
      </w:r>
      <w:r>
        <w:rPr>
          <w:rStyle w:val="14"/>
          <w:rFonts w:hint="default" w:ascii="Times New Roman" w:hAnsi="Times New Roman" w:eastAsia="仿宋_GB2312" w:cs="Times New Roman"/>
          <w:sz w:val="32"/>
          <w:szCs w:val="32"/>
        </w:rPr>
        <w:endnoteReference w:id="6"/>
      </w:r>
      <w:r>
        <w:rPr>
          <w:rStyle w:val="14"/>
          <w:rFonts w:hint="default" w:ascii="Times New Roman" w:hAnsi="Times New Roman" w:eastAsia="仿宋_GB2312" w:cs="Times New Roman"/>
          <w:sz w:val="32"/>
          <w:szCs w:val="32"/>
        </w:rPr>
        <w:t>]</w:t>
      </w:r>
      <w:r>
        <w:rPr>
          <w:rFonts w:hint="default" w:ascii="Times New Roman" w:hAnsi="Times New Roman" w:eastAsia="方正仿宋简体" w:cs="Times New Roman"/>
          <w:sz w:val="32"/>
          <w:szCs w:val="32"/>
          <w:lang w:val="en-US" w:eastAsia="zh-CN"/>
        </w:rPr>
        <w:t>1974.00</w:t>
      </w:r>
      <w:r>
        <w:rPr>
          <w:rFonts w:hint="default" w:ascii="Times New Roman" w:hAnsi="Times New Roman" w:eastAsia="方正仿宋简体" w:cs="Times New Roman"/>
          <w:sz w:val="32"/>
          <w:szCs w:val="32"/>
        </w:rPr>
        <w:t>万吨，比上年增长</w:t>
      </w:r>
      <w:r>
        <w:rPr>
          <w:rFonts w:hint="default" w:ascii="Times New Roman" w:hAnsi="Times New Roman" w:eastAsia="方正仿宋简体" w:cs="Times New Roman"/>
          <w:sz w:val="32"/>
          <w:szCs w:val="32"/>
          <w:lang w:val="en-US" w:eastAsia="zh-CN"/>
        </w:rPr>
        <w:t>0.8</w:t>
      </w:r>
      <w:r>
        <w:rPr>
          <w:rFonts w:hint="default" w:ascii="Times New Roman" w:hAnsi="Times New Roman" w:eastAsia="方正仿宋简体" w:cs="Times New Roman"/>
          <w:sz w:val="32"/>
          <w:szCs w:val="32"/>
        </w:rPr>
        <w:t>%。蔬菜产量</w:t>
      </w:r>
      <w:r>
        <w:rPr>
          <w:rFonts w:hint="default" w:ascii="Times New Roman" w:hAnsi="Times New Roman" w:eastAsia="方正仿宋简体" w:cs="Times New Roman"/>
          <w:sz w:val="32"/>
          <w:szCs w:val="32"/>
          <w:lang w:val="en-US" w:eastAsia="zh-CN"/>
        </w:rPr>
        <w:t>2960.83</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3.6</w:t>
      </w:r>
      <w:r>
        <w:rPr>
          <w:rFonts w:hint="default" w:ascii="Times New Roman" w:hAnsi="Times New Roman" w:eastAsia="方正仿宋简体" w:cs="Times New Roman"/>
          <w:sz w:val="32"/>
          <w:szCs w:val="32"/>
        </w:rPr>
        <w:t>%；水果产量</w:t>
      </w:r>
      <w:r>
        <w:rPr>
          <w:rFonts w:hint="default" w:ascii="Times New Roman" w:hAnsi="Times New Roman" w:eastAsia="方正仿宋简体" w:cs="Times New Roman"/>
          <w:sz w:val="32"/>
          <w:szCs w:val="32"/>
          <w:lang w:val="en-US" w:eastAsia="zh-CN"/>
        </w:rPr>
        <w:t>1380.88</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7.1</w:t>
      </w:r>
      <w:r>
        <w:rPr>
          <w:rFonts w:hint="default" w:ascii="Times New Roman" w:hAnsi="Times New Roman" w:eastAsia="方正仿宋简体" w:cs="Times New Roman"/>
          <w:sz w:val="32"/>
          <w:szCs w:val="32"/>
        </w:rPr>
        <w:t>%；茶叶产量</w:t>
      </w:r>
      <w:r>
        <w:rPr>
          <w:rFonts w:hint="default" w:ascii="Times New Roman" w:hAnsi="Times New Roman" w:eastAsia="方正仿宋简体" w:cs="Times New Roman"/>
          <w:sz w:val="32"/>
          <w:szCs w:val="32"/>
          <w:lang w:val="en-US" w:eastAsia="zh-CN"/>
        </w:rPr>
        <w:t>55.68</w:t>
      </w:r>
      <w:r>
        <w:rPr>
          <w:rFonts w:hint="default" w:ascii="Times New Roman" w:hAnsi="Times New Roman" w:eastAsia="方正仿宋简体" w:cs="Times New Roman"/>
          <w:sz w:val="32"/>
          <w:szCs w:val="32"/>
        </w:rPr>
        <w:t>万吨，增长</w:t>
      </w:r>
      <w:r>
        <w:rPr>
          <w:rFonts w:hint="default" w:ascii="Times New Roman" w:hAnsi="Times New Roman" w:eastAsia="方正仿宋简体" w:cs="Times New Roman"/>
          <w:sz w:val="32"/>
          <w:szCs w:val="32"/>
          <w:lang w:val="en-US" w:eastAsia="zh-CN"/>
        </w:rPr>
        <w:t>4.3</w:t>
      </w:r>
      <w:r>
        <w:rPr>
          <w:rFonts w:hint="default" w:ascii="Times New Roman" w:hAnsi="Times New Roman" w:eastAsia="方正仿宋简体" w:cs="Times New Roman"/>
          <w:sz w:val="32"/>
          <w:szCs w:val="32"/>
        </w:rPr>
        <w:t>%；鲜切花产量</w:t>
      </w:r>
      <w:r>
        <w:rPr>
          <w:rFonts w:hint="default" w:ascii="Times New Roman" w:hAnsi="Times New Roman" w:eastAsia="方正仿宋简体" w:cs="Times New Roman"/>
          <w:sz w:val="32"/>
          <w:szCs w:val="32"/>
          <w:lang w:val="en-US" w:eastAsia="zh-CN"/>
        </w:rPr>
        <w:t>189.73</w:t>
      </w:r>
      <w:r>
        <w:rPr>
          <w:rFonts w:hint="default" w:ascii="Times New Roman" w:hAnsi="Times New Roman" w:eastAsia="方正仿宋简体" w:cs="Times New Roman"/>
          <w:sz w:val="32"/>
          <w:szCs w:val="32"/>
        </w:rPr>
        <w:t>亿枝，增长</w:t>
      </w:r>
      <w:r>
        <w:rPr>
          <w:rFonts w:hint="default" w:ascii="Times New Roman" w:hAnsi="Times New Roman" w:eastAsia="方正仿宋简体" w:cs="Times New Roman"/>
          <w:sz w:val="32"/>
          <w:szCs w:val="32"/>
          <w:lang w:val="en-US" w:eastAsia="zh-CN"/>
        </w:rPr>
        <w:t>8.5</w:t>
      </w:r>
      <w:r>
        <w:rPr>
          <w:rFonts w:hint="default" w:ascii="Times New Roman" w:hAnsi="Times New Roman" w:eastAsia="方正仿宋简体" w:cs="Times New Roman"/>
          <w:sz w:val="32"/>
          <w:szCs w:val="32"/>
        </w:rPr>
        <w:t>%；</w:t>
      </w:r>
      <w:r>
        <w:rPr>
          <w:rFonts w:hint="default" w:ascii="Times New Roman" w:hAnsi="Times New Roman" w:eastAsia="仿宋_GB2312" w:cs="Times New Roman"/>
          <w:sz w:val="32"/>
          <w:szCs w:val="32"/>
        </w:rPr>
        <w:t>中药材产量</w:t>
      </w:r>
      <w:r>
        <w:rPr>
          <w:rFonts w:hint="default" w:ascii="Times New Roman" w:hAnsi="Times New Roman" w:eastAsia="方正仿宋简体" w:cs="Times New Roman"/>
          <w:sz w:val="32"/>
          <w:szCs w:val="32"/>
          <w:lang w:val="en-US" w:eastAsia="zh-CN"/>
        </w:rPr>
        <w:t>87.80</w:t>
      </w:r>
      <w:r>
        <w:rPr>
          <w:rFonts w:hint="default" w:ascii="Times New Roman" w:hAnsi="Times New Roman" w:eastAsia="仿宋_GB2312" w:cs="Times New Roman"/>
          <w:sz w:val="32"/>
          <w:szCs w:val="32"/>
        </w:rPr>
        <w:t>万吨，增长</w:t>
      </w:r>
      <w:r>
        <w:rPr>
          <w:rFonts w:hint="default" w:ascii="Times New Roman" w:hAnsi="Times New Roman" w:eastAsia="方正仿宋简体" w:cs="Times New Roman"/>
          <w:sz w:val="32"/>
          <w:szCs w:val="32"/>
          <w:lang w:val="en-US" w:eastAsia="zh-CN"/>
        </w:rPr>
        <w:t>6.7</w:t>
      </w:r>
      <w:r>
        <w:rPr>
          <w:rFonts w:hint="default" w:ascii="Times New Roman" w:hAnsi="Times New Roman" w:eastAsia="仿宋_GB2312" w:cs="Times New Roman"/>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仿宋_GB2312" w:cs="Times New Roman"/>
          <w:sz w:val="32"/>
          <w:szCs w:val="32"/>
        </w:rPr>
        <w:t>坚果产量</w:t>
      </w:r>
      <w:r>
        <w:rPr>
          <w:rFonts w:hint="default" w:ascii="Times New Roman" w:hAnsi="Times New Roman" w:eastAsia="方正仿宋简体" w:cs="Times New Roman"/>
          <w:sz w:val="32"/>
          <w:szCs w:val="32"/>
          <w:lang w:val="en-US" w:eastAsia="zh-CN"/>
        </w:rPr>
        <w:t>255.91</w:t>
      </w:r>
      <w:r>
        <w:rPr>
          <w:rFonts w:hint="default" w:ascii="Times New Roman" w:hAnsi="Times New Roman" w:eastAsia="仿宋_GB2312" w:cs="Times New Roman"/>
          <w:sz w:val="32"/>
          <w:szCs w:val="32"/>
        </w:rPr>
        <w:t>万吨，增长</w:t>
      </w:r>
      <w:r>
        <w:rPr>
          <w:rFonts w:hint="default" w:ascii="Times New Roman" w:hAnsi="Times New Roman" w:eastAsia="方正仿宋简体" w:cs="Times New Roman"/>
          <w:sz w:val="32"/>
          <w:szCs w:val="32"/>
          <w:lang w:val="en-US" w:eastAsia="zh-CN"/>
        </w:rPr>
        <w:t>2.3</w:t>
      </w:r>
      <w:r>
        <w:rPr>
          <w:rFonts w:hint="default" w:ascii="Times New Roman" w:hAnsi="Times New Roman" w:eastAsia="仿宋_GB2312" w:cs="Times New Roman"/>
          <w:sz w:val="32"/>
          <w:szCs w:val="32"/>
        </w:rPr>
        <w:t>%。</w:t>
      </w:r>
    </w:p>
    <w:p>
      <w:pPr>
        <w:pStyle w:val="2"/>
        <w:spacing w:line="240" w:lineRule="auto"/>
        <w:ind w:left="0" w:leftChars="0" w:firstLine="0" w:firstLineChars="0"/>
        <w:jc w:val="center"/>
        <w:rPr>
          <w:rFonts w:hint="eastAsia" w:eastAsia="仿宋_GB2312"/>
          <w:lang w:eastAsia="zh-CN"/>
        </w:rPr>
      </w:pPr>
      <w:r>
        <w:rPr>
          <w:rFonts w:hint="eastAsia" w:eastAsia="仿宋_GB2312"/>
          <w:lang w:eastAsia="zh-CN"/>
        </w:rPr>
        <w:drawing>
          <wp:inline distT="0" distB="0" distL="114300" distR="114300">
            <wp:extent cx="5039995" cy="3028315"/>
            <wp:effectExtent l="0" t="0" r="8255" b="635"/>
            <wp:docPr id="17" name="图片 1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4"/>
                    <pic:cNvPicPr>
                      <a:picLocks noChangeAspect="1"/>
                    </pic:cNvPicPr>
                  </pic:nvPicPr>
                  <pic:blipFill>
                    <a:blip r:embed="rId10"/>
                    <a:stretch>
                      <a:fillRect/>
                    </a:stretch>
                  </pic:blipFill>
                  <pic:spPr>
                    <a:xfrm>
                      <a:off x="0" y="0"/>
                      <a:ext cx="5039995" cy="302831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color w:val="auto"/>
          <w:kern w:val="2"/>
          <w:sz w:val="32"/>
          <w:szCs w:val="32"/>
        </w:rPr>
      </w:pPr>
      <w:r>
        <w:rPr>
          <w:rFonts w:hint="default" w:ascii="Times New Roman" w:hAnsi="Times New Roman" w:eastAsia="方正仿宋简体" w:cs="Times New Roman"/>
          <w:color w:val="auto"/>
          <w:sz w:val="32"/>
          <w:szCs w:val="32"/>
        </w:rPr>
        <w:t>全年猪牛羊禽肉总产量</w:t>
      </w:r>
      <w:r>
        <w:rPr>
          <w:rStyle w:val="14"/>
          <w:rFonts w:hint="default" w:ascii="Times New Roman" w:hAnsi="Times New Roman" w:eastAsia="仿宋_GB2312" w:cs="Times New Roman"/>
          <w:sz w:val="32"/>
          <w:szCs w:val="32"/>
        </w:rPr>
        <w:t>[</w:t>
      </w:r>
      <w:r>
        <w:rPr>
          <w:rStyle w:val="14"/>
          <w:rFonts w:hint="default" w:ascii="Times New Roman" w:hAnsi="Times New Roman" w:eastAsia="仿宋_GB2312" w:cs="Times New Roman"/>
          <w:sz w:val="32"/>
          <w:szCs w:val="32"/>
        </w:rPr>
        <w:endnoteReference w:id="7"/>
      </w:r>
      <w:r>
        <w:rPr>
          <w:rStyle w:val="14"/>
          <w:rFonts w:hint="default" w:ascii="Times New Roman" w:hAnsi="Times New Roman" w:eastAsia="仿宋_GB2312" w:cs="Times New Roman"/>
          <w:sz w:val="32"/>
          <w:szCs w:val="32"/>
        </w:rPr>
        <w:t>]</w:t>
      </w:r>
      <w:r>
        <w:rPr>
          <w:rFonts w:hint="default" w:ascii="Times New Roman" w:hAnsi="Times New Roman" w:eastAsia="方正仿宋简体" w:cs="Times New Roman"/>
          <w:color w:val="auto"/>
          <w:sz w:val="32"/>
          <w:szCs w:val="32"/>
          <w:lang w:val="en-US" w:eastAsia="zh-CN"/>
        </w:rPr>
        <w:t>534.78</w:t>
      </w:r>
      <w:r>
        <w:rPr>
          <w:rFonts w:hint="default" w:ascii="Times New Roman" w:hAnsi="Times New Roman" w:eastAsia="方正仿宋简体" w:cs="Times New Roman"/>
          <w:color w:val="auto"/>
          <w:sz w:val="32"/>
          <w:szCs w:val="32"/>
        </w:rPr>
        <w:t>万吨，比上年增长</w:t>
      </w:r>
      <w:r>
        <w:rPr>
          <w:rFonts w:hint="default" w:ascii="Times New Roman" w:hAnsi="Times New Roman" w:eastAsia="方正仿宋简体" w:cs="Times New Roman"/>
          <w:color w:val="auto"/>
          <w:sz w:val="32"/>
          <w:szCs w:val="32"/>
          <w:lang w:val="en-US" w:eastAsia="zh-CN"/>
        </w:rPr>
        <w:t>2.8</w:t>
      </w:r>
      <w:r>
        <w:rPr>
          <w:rFonts w:hint="default" w:ascii="Times New Roman" w:hAnsi="Times New Roman" w:eastAsia="方正仿宋简体" w:cs="Times New Roman"/>
          <w:color w:val="auto"/>
          <w:sz w:val="32"/>
          <w:szCs w:val="32"/>
        </w:rPr>
        <w:t>%，其中，猪肉产量</w:t>
      </w:r>
      <w:r>
        <w:rPr>
          <w:rFonts w:hint="default" w:ascii="Times New Roman" w:hAnsi="Times New Roman" w:eastAsia="方正仿宋简体" w:cs="Times New Roman"/>
          <w:color w:val="auto"/>
          <w:sz w:val="32"/>
          <w:szCs w:val="32"/>
          <w:lang w:val="en-US" w:eastAsia="zh-CN"/>
        </w:rPr>
        <w:t>405.36</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3.1%</w:t>
      </w:r>
      <w:r>
        <w:rPr>
          <w:rFonts w:hint="default" w:ascii="Times New Roman" w:hAnsi="Times New Roman" w:eastAsia="方正仿宋简体" w:cs="Times New Roman"/>
          <w:color w:val="auto"/>
          <w:sz w:val="32"/>
          <w:szCs w:val="32"/>
        </w:rPr>
        <w:t>；牛肉产量</w:t>
      </w:r>
      <w:r>
        <w:rPr>
          <w:rFonts w:hint="default" w:ascii="Times New Roman" w:hAnsi="Times New Roman" w:eastAsia="方正仿宋简体" w:cs="Times New Roman"/>
          <w:color w:val="auto"/>
          <w:sz w:val="32"/>
          <w:szCs w:val="32"/>
          <w:lang w:val="en-US" w:eastAsia="zh-CN"/>
        </w:rPr>
        <w:t>44.74</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2.6%</w:t>
      </w:r>
      <w:r>
        <w:rPr>
          <w:rFonts w:hint="default" w:ascii="Times New Roman" w:hAnsi="Times New Roman" w:eastAsia="方正仿宋简体" w:cs="Times New Roman"/>
          <w:color w:val="auto"/>
          <w:sz w:val="32"/>
          <w:szCs w:val="32"/>
        </w:rPr>
        <w:t>；羊肉产量</w:t>
      </w:r>
      <w:r>
        <w:rPr>
          <w:rFonts w:hint="default" w:ascii="Times New Roman" w:hAnsi="Times New Roman" w:eastAsia="方正仿宋简体" w:cs="Times New Roman"/>
          <w:color w:val="auto"/>
          <w:sz w:val="32"/>
          <w:szCs w:val="32"/>
          <w:lang w:val="en-US" w:eastAsia="zh-CN"/>
        </w:rPr>
        <w:t>22.29</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2.6%</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牛奶产量</w:t>
      </w:r>
      <w:r>
        <w:rPr>
          <w:rFonts w:hint="default" w:ascii="Times New Roman" w:hAnsi="Times New Roman" w:eastAsia="方正仿宋简体" w:cs="Times New Roman"/>
          <w:color w:val="auto"/>
          <w:sz w:val="32"/>
          <w:szCs w:val="32"/>
          <w:lang w:val="en-US" w:eastAsia="zh-CN"/>
        </w:rPr>
        <w:t>72.59</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5.2</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禽蛋产量</w:t>
      </w:r>
      <w:r>
        <w:rPr>
          <w:rFonts w:hint="default" w:ascii="Times New Roman" w:hAnsi="Times New Roman" w:eastAsia="方正仿宋简体" w:cs="Times New Roman"/>
          <w:color w:val="auto"/>
          <w:sz w:val="32"/>
          <w:szCs w:val="32"/>
          <w:lang w:val="en-US" w:eastAsia="zh-CN"/>
        </w:rPr>
        <w:t>46.56</w:t>
      </w:r>
      <w:r>
        <w:rPr>
          <w:rFonts w:hint="default" w:ascii="Times New Roman" w:hAnsi="Times New Roman" w:eastAsia="方正仿宋简体" w:cs="Times New Roman"/>
          <w:color w:val="auto"/>
          <w:sz w:val="32"/>
          <w:szCs w:val="32"/>
        </w:rPr>
        <w:t>万吨，增长</w:t>
      </w:r>
      <w:r>
        <w:rPr>
          <w:rFonts w:hint="default" w:ascii="Times New Roman" w:hAnsi="Times New Roman" w:eastAsia="方正仿宋简体" w:cs="Times New Roman"/>
          <w:color w:val="auto"/>
          <w:sz w:val="32"/>
          <w:szCs w:val="32"/>
          <w:lang w:val="en-US" w:eastAsia="zh-CN"/>
        </w:rPr>
        <w:t>7.6</w:t>
      </w:r>
      <w:r>
        <w:rPr>
          <w:rFonts w:hint="default" w:ascii="Times New Roman" w:hAnsi="Times New Roman" w:eastAsia="方正仿宋简体" w:cs="Times New Roman"/>
          <w:color w:val="auto"/>
          <w:sz w:val="32"/>
          <w:szCs w:val="32"/>
        </w:rPr>
        <w:t>%。年末生猪存栏</w:t>
      </w:r>
      <w:r>
        <w:rPr>
          <w:rFonts w:hint="default" w:ascii="Times New Roman" w:hAnsi="Times New Roman" w:eastAsia="方正仿宋简体" w:cs="Times New Roman"/>
          <w:color w:val="auto"/>
          <w:sz w:val="32"/>
          <w:szCs w:val="32"/>
          <w:lang w:val="en-US" w:eastAsia="zh-CN"/>
        </w:rPr>
        <w:t>3160.15</w:t>
      </w:r>
      <w:r>
        <w:rPr>
          <w:rFonts w:hint="default" w:ascii="Times New Roman" w:hAnsi="Times New Roman" w:eastAsia="方正仿宋简体" w:cs="Times New Roman"/>
          <w:color w:val="auto"/>
          <w:sz w:val="32"/>
          <w:szCs w:val="32"/>
        </w:rPr>
        <w:t>万头，</w:t>
      </w:r>
      <w:r>
        <w:rPr>
          <w:rFonts w:hint="default" w:ascii="Times New Roman" w:hAnsi="Times New Roman" w:eastAsia="方正仿宋简体" w:cs="Times New Roman"/>
          <w:color w:val="auto"/>
          <w:sz w:val="32"/>
          <w:szCs w:val="32"/>
          <w:lang w:val="en-US" w:eastAsia="zh-CN"/>
        </w:rPr>
        <w:t>下降5.0%</w:t>
      </w:r>
      <w:r>
        <w:rPr>
          <w:rFonts w:hint="default" w:ascii="Times New Roman" w:hAnsi="Times New Roman" w:eastAsia="方正仿宋简体" w:cs="Times New Roman"/>
          <w:color w:val="auto"/>
          <w:sz w:val="32"/>
          <w:szCs w:val="32"/>
        </w:rPr>
        <w:t>；全年生猪出栏</w:t>
      </w:r>
      <w:r>
        <w:rPr>
          <w:rFonts w:hint="default" w:ascii="Times New Roman" w:hAnsi="Times New Roman" w:eastAsia="方正仿宋简体" w:cs="Times New Roman"/>
          <w:color w:val="auto"/>
          <w:sz w:val="32"/>
          <w:szCs w:val="32"/>
          <w:lang w:val="en-US" w:eastAsia="zh-CN"/>
        </w:rPr>
        <w:t>4626.95万头，增长2.1%</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表3  2023年云南主要农产品产量及增长速度</w:t>
      </w:r>
      <w:r>
        <w:rPr>
          <w:rStyle w:val="14"/>
          <w:rFonts w:hint="default" w:ascii="Times New Roman" w:hAnsi="Times New Roman" w:eastAsia="方正黑体简体" w:cs="Times New Roman"/>
          <w:kern w:val="0"/>
          <w:sz w:val="28"/>
          <w:szCs w:val="28"/>
        </w:rPr>
        <w:t>[</w:t>
      </w:r>
      <w:r>
        <w:rPr>
          <w:rStyle w:val="14"/>
          <w:rFonts w:hint="default" w:ascii="Times New Roman" w:hAnsi="Times New Roman" w:eastAsia="方正黑体简体" w:cs="Times New Roman"/>
          <w:kern w:val="0"/>
          <w:sz w:val="28"/>
          <w:szCs w:val="28"/>
        </w:rPr>
        <w:endnoteReference w:id="8"/>
      </w:r>
      <w:r>
        <w:rPr>
          <w:rStyle w:val="14"/>
          <w:rFonts w:hint="default" w:ascii="Times New Roman" w:hAnsi="Times New Roman" w:eastAsia="方正黑体简体" w:cs="Times New Roman"/>
          <w:kern w:val="0"/>
          <w:sz w:val="28"/>
          <w:szCs w:val="28"/>
        </w:rPr>
        <w:t>]</w:t>
      </w:r>
    </w:p>
    <w:tbl>
      <w:tblPr>
        <w:tblStyle w:val="12"/>
        <w:tblW w:w="7663" w:type="dxa"/>
        <w:jc w:val="center"/>
        <w:tblLayout w:type="fixed"/>
        <w:tblCellMar>
          <w:top w:w="15" w:type="dxa"/>
          <w:left w:w="15" w:type="dxa"/>
          <w:bottom w:w="15" w:type="dxa"/>
          <w:right w:w="15" w:type="dxa"/>
        </w:tblCellMar>
      </w:tblPr>
      <w:tblGrid>
        <w:gridCol w:w="3073"/>
        <w:gridCol w:w="2340"/>
        <w:gridCol w:w="2250"/>
      </w:tblGrid>
      <w:tr>
        <w:tblPrEx>
          <w:tblCellMar>
            <w:top w:w="15" w:type="dxa"/>
            <w:left w:w="15" w:type="dxa"/>
            <w:bottom w:w="15" w:type="dxa"/>
            <w:right w:w="15" w:type="dxa"/>
          </w:tblCellMar>
        </w:tblPrEx>
        <w:trPr>
          <w:trHeight w:val="690" w:hRule="atLeast"/>
          <w:tblHeader/>
          <w:jc w:val="center"/>
        </w:trPr>
        <w:tc>
          <w:tcPr>
            <w:tcW w:w="3073" w:type="dxa"/>
            <w:tcBorders>
              <w:top w:val="single" w:color="000000" w:sz="12" w:space="0"/>
              <w:left w:val="nil"/>
              <w:bottom w:val="single" w:color="000000" w:sz="8" w:space="0"/>
              <w:right w:val="single" w:color="000000" w:sz="8" w:space="0"/>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eastAsia="方正黑体简体" w:cs="Times New Roman"/>
                <w:b w:val="0"/>
                <w:bCs w:val="0"/>
                <w:sz w:val="24"/>
                <w:szCs w:val="24"/>
              </w:rPr>
            </w:pPr>
            <w:r>
              <w:rPr>
                <w:rFonts w:hint="default" w:ascii="Times New Roman" w:hAnsi="Times New Roman" w:eastAsia="方正黑体简体" w:cs="Times New Roman"/>
                <w:b w:val="0"/>
                <w:bCs w:val="0"/>
                <w:kern w:val="0"/>
                <w:sz w:val="24"/>
                <w:szCs w:val="24"/>
              </w:rPr>
              <w:t>产品名称</w:t>
            </w:r>
          </w:p>
        </w:tc>
        <w:tc>
          <w:tcPr>
            <w:tcW w:w="2340" w:type="dxa"/>
            <w:tcBorders>
              <w:top w:val="single" w:color="000000" w:sz="12" w:space="0"/>
              <w:left w:val="single" w:color="000000" w:sz="8" w:space="0"/>
              <w:bottom w:val="single" w:color="000000" w:sz="8" w:space="0"/>
              <w:right w:val="single" w:color="000000" w:sz="8" w:space="0"/>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eastAsia="方正黑体简体" w:cs="Times New Roman"/>
                <w:b w:val="0"/>
                <w:bCs w:val="0"/>
                <w:sz w:val="24"/>
                <w:szCs w:val="24"/>
              </w:rPr>
            </w:pPr>
            <w:r>
              <w:rPr>
                <w:rFonts w:hint="default" w:ascii="Times New Roman" w:hAnsi="Times New Roman" w:eastAsia="方正黑体简体" w:cs="Times New Roman"/>
                <w:b w:val="0"/>
                <w:bCs w:val="0"/>
                <w:kern w:val="0"/>
                <w:sz w:val="24"/>
                <w:szCs w:val="24"/>
              </w:rPr>
              <w:t>产量（万吨）</w:t>
            </w:r>
          </w:p>
        </w:tc>
        <w:tc>
          <w:tcPr>
            <w:tcW w:w="2250" w:type="dxa"/>
            <w:tcBorders>
              <w:top w:val="single" w:color="000000" w:sz="12" w:space="0"/>
              <w:left w:val="single" w:color="000000" w:sz="8" w:space="0"/>
              <w:bottom w:val="single" w:color="000000" w:sz="8" w:space="0"/>
              <w:right w:val="nil"/>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eastAsia="方正黑体简体" w:cs="Times New Roman"/>
                <w:b w:val="0"/>
                <w:bCs w:val="0"/>
                <w:sz w:val="24"/>
                <w:szCs w:val="24"/>
              </w:rPr>
            </w:pPr>
            <w:r>
              <w:rPr>
                <w:rFonts w:hint="default" w:ascii="Times New Roman" w:hAnsi="Times New Roman" w:eastAsia="方正黑体简体" w:cs="Times New Roman"/>
                <w:b w:val="0"/>
                <w:bCs w:val="0"/>
                <w:kern w:val="0"/>
                <w:sz w:val="24"/>
                <w:szCs w:val="24"/>
              </w:rPr>
              <w:t>比上年增长（%）</w:t>
            </w:r>
          </w:p>
        </w:tc>
      </w:tr>
      <w:tr>
        <w:tblPrEx>
          <w:tblCellMar>
            <w:top w:w="15" w:type="dxa"/>
            <w:left w:w="15" w:type="dxa"/>
            <w:bottom w:w="15" w:type="dxa"/>
            <w:right w:w="15" w:type="dxa"/>
          </w:tblCellMar>
        </w:tblPrEx>
        <w:trPr>
          <w:trHeight w:val="397" w:hRule="atLeast"/>
          <w:jc w:val="center"/>
        </w:trPr>
        <w:tc>
          <w:tcPr>
            <w:tcW w:w="3073" w:type="dxa"/>
            <w:tcBorders>
              <w:top w:val="single" w:color="000000" w:sz="8" w:space="0"/>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粮  食</w:t>
            </w:r>
          </w:p>
        </w:tc>
        <w:tc>
          <w:tcPr>
            <w:tcW w:w="2340" w:type="dxa"/>
            <w:tcBorders>
              <w:top w:val="single" w:color="000000" w:sz="8" w:space="0"/>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rPr>
              <w:t>1974.00</w:t>
            </w:r>
          </w:p>
        </w:tc>
        <w:tc>
          <w:tcPr>
            <w:tcW w:w="2250" w:type="dxa"/>
            <w:tcBorders>
              <w:top w:val="single" w:color="000000" w:sz="8" w:space="0"/>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0.8</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油  料</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rPr>
              <w:t>68.45</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7.8</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甘  蔗</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1586.89</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2.1</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烤  烟</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87.08</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3.7</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 xml:space="preserve">           蔬  菜（含食用菌）</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2960.83</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3.6</w:t>
            </w:r>
          </w:p>
        </w:tc>
      </w:tr>
      <w:tr>
        <w:tblPrEx>
          <w:tblCellMar>
            <w:top w:w="15" w:type="dxa"/>
            <w:left w:w="15" w:type="dxa"/>
            <w:bottom w:w="15" w:type="dxa"/>
            <w:right w:w="15" w:type="dxa"/>
          </w:tblCellMar>
        </w:tblPrEx>
        <w:trPr>
          <w:trHeight w:val="90"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 xml:space="preserve">        鲜切花（亿枝）</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189.73</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8.5</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水  果</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1380.88</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7.1</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茶  叶</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55.68</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4.3</w:t>
            </w:r>
          </w:p>
        </w:tc>
      </w:tr>
      <w:tr>
        <w:tblPrEx>
          <w:tblCellMar>
            <w:top w:w="15" w:type="dxa"/>
            <w:left w:w="15" w:type="dxa"/>
            <w:bottom w:w="15" w:type="dxa"/>
            <w:right w:w="15" w:type="dxa"/>
          </w:tblCellMar>
        </w:tblPrEx>
        <w:trPr>
          <w:trHeight w:val="397" w:hRule="atLeast"/>
          <w:jc w:val="center"/>
        </w:trPr>
        <w:tc>
          <w:tcPr>
            <w:tcW w:w="3073" w:type="dxa"/>
            <w:tcBorders>
              <w:top w:val="nil"/>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橡  胶</w:t>
            </w:r>
          </w:p>
        </w:tc>
        <w:tc>
          <w:tcPr>
            <w:tcW w:w="2340" w:type="dxa"/>
            <w:tcBorders>
              <w:top w:val="nil"/>
              <w:left w:val="nil"/>
              <w:right w:val="single" w:color="000000"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53.12</w:t>
            </w:r>
          </w:p>
        </w:tc>
        <w:tc>
          <w:tcPr>
            <w:tcW w:w="2250" w:type="dxa"/>
            <w:tcBorders>
              <w:top w:val="nil"/>
              <w:lef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0.2</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核  桃</w:t>
            </w:r>
          </w:p>
        </w:tc>
        <w:tc>
          <w:tcPr>
            <w:tcW w:w="2340" w:type="dxa"/>
            <w:tcBorders>
              <w:left w:val="nil"/>
              <w:right w:val="single" w:color="000000"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213.16</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0.1</w:t>
            </w:r>
          </w:p>
        </w:tc>
      </w:tr>
      <w:tr>
        <w:tblPrEx>
          <w:tblCellMar>
            <w:top w:w="15" w:type="dxa"/>
            <w:left w:w="15" w:type="dxa"/>
            <w:bottom w:w="15" w:type="dxa"/>
            <w:right w:w="15" w:type="dxa"/>
          </w:tblCellMar>
        </w:tblPrEx>
        <w:trPr>
          <w:trHeight w:val="397" w:hRule="atLeast"/>
          <w:jc w:val="center"/>
        </w:trPr>
        <w:tc>
          <w:tcPr>
            <w:tcW w:w="3073" w:type="dxa"/>
            <w:tcBorders>
              <w:bottom w:val="nil"/>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咖  啡</w:t>
            </w:r>
          </w:p>
        </w:tc>
        <w:tc>
          <w:tcPr>
            <w:tcW w:w="2340" w:type="dxa"/>
            <w:tcBorders>
              <w:left w:val="nil"/>
              <w:bottom w:val="nil"/>
              <w:right w:val="single" w:color="000000"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14.34</w:t>
            </w:r>
          </w:p>
        </w:tc>
        <w:tc>
          <w:tcPr>
            <w:tcW w:w="2250" w:type="dxa"/>
            <w:tcBorders>
              <w:left w:val="nil"/>
              <w:bottom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0.2</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kern w:val="0"/>
                <w:sz w:val="22"/>
              </w:rPr>
            </w:pPr>
            <w:r>
              <w:rPr>
                <w:rFonts w:hint="default" w:ascii="Times New Roman" w:hAnsi="Times New Roman" w:cs="Times New Roman"/>
                <w:kern w:val="0"/>
                <w:sz w:val="22"/>
              </w:rPr>
              <w:t>中药材</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
              </w:rPr>
            </w:pPr>
            <w:r>
              <w:rPr>
                <w:rFonts w:hint="default" w:ascii="Times New Roman" w:hAnsi="Times New Roman" w:cs="Times New Roman"/>
                <w:sz w:val="22"/>
                <w:lang w:val="en-US" w:eastAsia="zh-CN"/>
              </w:rPr>
              <w:t>87.80</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
              </w:rPr>
            </w:pPr>
            <w:r>
              <w:rPr>
                <w:rFonts w:hint="default" w:ascii="Times New Roman" w:hAnsi="Times New Roman" w:cs="Times New Roman"/>
                <w:sz w:val="22"/>
                <w:lang w:val="en-US" w:eastAsia="zh-CN"/>
              </w:rPr>
              <w:t>6.7</w:t>
            </w:r>
          </w:p>
        </w:tc>
      </w:tr>
      <w:tr>
        <w:tblPrEx>
          <w:tblCellMar>
            <w:top w:w="15" w:type="dxa"/>
            <w:left w:w="15" w:type="dxa"/>
            <w:bottom w:w="15" w:type="dxa"/>
            <w:right w:w="15" w:type="dxa"/>
          </w:tblCellMar>
        </w:tblPrEx>
        <w:trPr>
          <w:trHeight w:val="397" w:hRule="atLeast"/>
          <w:jc w:val="center"/>
        </w:trPr>
        <w:tc>
          <w:tcPr>
            <w:tcW w:w="3073" w:type="dxa"/>
            <w:tcBorders>
              <w:top w:val="nil"/>
              <w:left w:val="nil"/>
              <w:bottom w:val="nil"/>
              <w:right w:val="single" w:color="auto"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kern w:val="0"/>
                <w:sz w:val="22"/>
              </w:rPr>
            </w:pPr>
            <w:r>
              <w:rPr>
                <w:rFonts w:hint="default" w:ascii="Times New Roman" w:hAnsi="Times New Roman" w:cs="Times New Roman"/>
                <w:kern w:val="0"/>
                <w:sz w:val="22"/>
              </w:rPr>
              <w:t>坚  果</w:t>
            </w:r>
          </w:p>
        </w:tc>
        <w:tc>
          <w:tcPr>
            <w:tcW w:w="2340" w:type="dxa"/>
            <w:tcBorders>
              <w:top w:val="nil"/>
              <w:left w:val="single" w:color="auto" w:sz="4" w:space="0"/>
              <w:bottom w:val="nil"/>
              <w:right w:val="single" w:color="auto"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
              </w:rPr>
            </w:pPr>
            <w:r>
              <w:rPr>
                <w:rFonts w:hint="default" w:ascii="Times New Roman" w:hAnsi="Times New Roman" w:cs="Times New Roman"/>
                <w:sz w:val="22"/>
                <w:lang w:val="en-US" w:eastAsia="zh-CN"/>
              </w:rPr>
              <w:t>255.91</w:t>
            </w:r>
          </w:p>
        </w:tc>
        <w:tc>
          <w:tcPr>
            <w:tcW w:w="2250" w:type="dxa"/>
            <w:tcBorders>
              <w:top w:val="nil"/>
              <w:left w:val="single" w:color="auto" w:sz="4" w:space="0"/>
              <w:bottom w:val="nil"/>
              <w:right w:val="nil"/>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
              </w:rPr>
            </w:pPr>
            <w:r>
              <w:rPr>
                <w:rFonts w:hint="default" w:ascii="Times New Roman" w:hAnsi="Times New Roman" w:cs="Times New Roman"/>
                <w:sz w:val="22"/>
                <w:lang w:val="en-US" w:eastAsia="zh-CN"/>
              </w:rPr>
              <w:t>2.3</w:t>
            </w:r>
          </w:p>
        </w:tc>
      </w:tr>
      <w:tr>
        <w:tblPrEx>
          <w:tblCellMar>
            <w:top w:w="15" w:type="dxa"/>
            <w:left w:w="15" w:type="dxa"/>
            <w:bottom w:w="15" w:type="dxa"/>
            <w:right w:w="15" w:type="dxa"/>
          </w:tblCellMar>
        </w:tblPrEx>
        <w:trPr>
          <w:trHeight w:val="397" w:hRule="atLeast"/>
          <w:jc w:val="center"/>
        </w:trPr>
        <w:tc>
          <w:tcPr>
            <w:tcW w:w="3073" w:type="dxa"/>
            <w:tcBorders>
              <w:top w:val="nil"/>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水产品</w:t>
            </w:r>
          </w:p>
        </w:tc>
        <w:tc>
          <w:tcPr>
            <w:tcW w:w="2340" w:type="dxa"/>
            <w:tcBorders>
              <w:top w:val="nil"/>
              <w:left w:val="nil"/>
              <w:bottom w:val="single" w:color="000000" w:sz="12" w:space="0"/>
              <w:right w:val="single" w:color="000000" w:sz="4"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rPr>
            </w:pPr>
            <w:r>
              <w:rPr>
                <w:rFonts w:hint="default" w:ascii="Times New Roman" w:hAnsi="Times New Roman" w:cs="Times New Roman"/>
                <w:sz w:val="22"/>
                <w:lang w:val="en-US" w:eastAsia="zh-CN"/>
              </w:rPr>
              <w:t>70.</w:t>
            </w:r>
            <w:r>
              <w:rPr>
                <w:rFonts w:hint="eastAsia" w:ascii="Times New Roman" w:hAnsi="Times New Roman" w:cs="Times New Roman"/>
                <w:sz w:val="22"/>
                <w:lang w:val="en-US" w:eastAsia="zh-CN"/>
              </w:rPr>
              <w:t>20</w:t>
            </w:r>
          </w:p>
        </w:tc>
        <w:tc>
          <w:tcPr>
            <w:tcW w:w="2250" w:type="dxa"/>
            <w:tcBorders>
              <w:top w:val="nil"/>
              <w:left w:val="nil"/>
              <w:bottom w:val="single" w:color="000000" w:sz="12" w:space="0"/>
            </w:tcBorders>
            <w:shd w:val="clear" w:color="auto" w:fill="FFFFFF"/>
            <w:tcMar>
              <w:top w:w="0" w:type="dxa"/>
              <w:left w:w="15" w:type="dxa"/>
              <w:bottom w:w="0" w:type="dxa"/>
              <w:right w:w="51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rPr>
            </w:pPr>
            <w:r>
              <w:rPr>
                <w:rFonts w:hint="eastAsia" w:ascii="Times New Roman" w:hAnsi="Times New Roman" w:cs="Times New Roman"/>
                <w:sz w:val="22"/>
                <w:lang w:val="en-US" w:eastAsia="zh-CN"/>
              </w:rPr>
              <w:t>3.4</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bCs/>
          <w:sz w:val="32"/>
          <w:szCs w:val="32"/>
        </w:rPr>
      </w:pPr>
      <w:r>
        <w:rPr>
          <w:rFonts w:hint="eastAsia" w:ascii="方正黑体简体" w:hAnsi="方正黑体简体" w:eastAsia="方正黑体简体" w:cs="方正黑体简体"/>
          <w:bCs/>
          <w:sz w:val="32"/>
          <w:szCs w:val="32"/>
        </w:rPr>
        <w:t>四、工业和建筑业</w:t>
      </w:r>
    </w:p>
    <w:p>
      <w:pPr>
        <w:keepNext w:val="0"/>
        <w:keepLines w:val="0"/>
        <w:pageBreakBefore w:val="0"/>
        <w:widowControl w:val="0"/>
        <w:tabs>
          <w:tab w:val="left" w:pos="630"/>
        </w:tabs>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auto"/>
          <w:sz w:val="32"/>
          <w:szCs w:val="32"/>
        </w:rPr>
        <w:t>全年全部工业增加值</w:t>
      </w:r>
      <w:r>
        <w:rPr>
          <w:rFonts w:hint="default" w:ascii="Times New Roman" w:hAnsi="Times New Roman" w:eastAsia="方正仿宋简体" w:cs="Times New Roman"/>
          <w:color w:val="auto"/>
          <w:sz w:val="32"/>
          <w:szCs w:val="32"/>
          <w:lang w:val="en-US" w:eastAsia="zh-CN"/>
        </w:rPr>
        <w:t>7202.83</w:t>
      </w:r>
      <w:r>
        <w:rPr>
          <w:rFonts w:hint="default" w:ascii="Times New Roman" w:hAnsi="Times New Roman" w:eastAsia="方正仿宋简体" w:cs="Times New Roman"/>
          <w:color w:val="auto"/>
          <w:sz w:val="32"/>
          <w:szCs w:val="32"/>
        </w:rPr>
        <w:t>亿元，比上年增长</w:t>
      </w:r>
      <w:r>
        <w:rPr>
          <w:rFonts w:hint="default" w:ascii="Times New Roman" w:hAnsi="Times New Roman" w:eastAsia="方正仿宋简体" w:cs="Times New Roman"/>
          <w:color w:val="auto"/>
          <w:sz w:val="32"/>
          <w:szCs w:val="32"/>
          <w:lang w:eastAsia="zh-CN"/>
        </w:rPr>
        <w:t>4</w:t>
      </w:r>
      <w:r>
        <w:rPr>
          <w:rFonts w:hint="default"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sz w:val="32"/>
          <w:szCs w:val="32"/>
        </w:rPr>
        <w:t>规模以上工业</w:t>
      </w:r>
      <w:r>
        <w:rPr>
          <w:rStyle w:val="14"/>
          <w:rFonts w:hint="default" w:ascii="Times New Roman" w:hAnsi="Times New Roman" w:eastAsia="方正仿宋简体" w:cs="Times New Roman"/>
          <w:sz w:val="32"/>
          <w:szCs w:val="32"/>
        </w:rPr>
        <w:t>[</w:t>
      </w:r>
      <w:r>
        <w:rPr>
          <w:rStyle w:val="14"/>
          <w:rFonts w:hint="default" w:ascii="Times New Roman" w:hAnsi="Times New Roman" w:eastAsia="方正仿宋简体" w:cs="Times New Roman"/>
          <w:sz w:val="32"/>
          <w:szCs w:val="32"/>
        </w:rPr>
        <w:endnoteReference w:id="9"/>
      </w:r>
      <w:r>
        <w:rPr>
          <w:rStyle w:val="14"/>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增加值增长5.2%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其中，高技术制造业增长21.2%，装备制造业增长25.4%。分经济类型看，国有企业增长5.7%</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集体企业</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rPr>
        <w:t>22.2%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股份制企业增长5.7%</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私营企业增长1.7%</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分门类看，采矿业</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rPr>
        <w:t>2.6%，制造业增长6.6%，电力、热力、燃气及水生产和供应业增长3.6%。</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bCs/>
          <w:sz w:val="32"/>
          <w:szCs w:val="32"/>
        </w:rPr>
      </w:pPr>
      <w:r>
        <w:rPr>
          <w:rFonts w:hint="default" w:ascii="Times New Roman" w:hAnsi="Times New Roman" w:eastAsia="方正仿宋简体" w:cs="Times New Roman"/>
          <w:bCs/>
          <w:sz w:val="32"/>
          <w:szCs w:val="32"/>
        </w:rPr>
        <w:t>分行业看，烟草制品业增长</w:t>
      </w:r>
      <w:r>
        <w:rPr>
          <w:rFonts w:hint="default" w:ascii="Times New Roman" w:hAnsi="Times New Roman" w:eastAsia="方正仿宋简体" w:cs="Times New Roman"/>
          <w:sz w:val="32"/>
          <w:szCs w:val="32"/>
        </w:rPr>
        <w:t>4.1</w:t>
      </w:r>
      <w:r>
        <w:rPr>
          <w:rFonts w:hint="default" w:ascii="Times New Roman" w:hAnsi="Times New Roman" w:eastAsia="方正仿宋简体" w:cs="Times New Roman"/>
          <w:bCs/>
          <w:sz w:val="32"/>
          <w:szCs w:val="32"/>
        </w:rPr>
        <w:t>%，电力、热力生产和供应业增长</w:t>
      </w:r>
      <w:r>
        <w:rPr>
          <w:rFonts w:hint="default" w:ascii="Times New Roman" w:hAnsi="Times New Roman" w:eastAsia="方正仿宋简体" w:cs="Times New Roman"/>
          <w:sz w:val="32"/>
          <w:szCs w:val="32"/>
        </w:rPr>
        <w:t>2.6</w:t>
      </w:r>
      <w:r>
        <w:rPr>
          <w:rFonts w:hint="default" w:ascii="Times New Roman" w:hAnsi="Times New Roman" w:eastAsia="方正仿宋简体" w:cs="Times New Roman"/>
          <w:bCs/>
          <w:sz w:val="32"/>
          <w:szCs w:val="32"/>
        </w:rPr>
        <w:t>%，有色金属冶炼和压延加工业增长</w:t>
      </w:r>
      <w:r>
        <w:rPr>
          <w:rFonts w:hint="default" w:ascii="Times New Roman" w:hAnsi="Times New Roman" w:eastAsia="方正仿宋简体" w:cs="Times New Roman"/>
          <w:sz w:val="32"/>
          <w:szCs w:val="32"/>
        </w:rPr>
        <w:t>6.1</w:t>
      </w:r>
      <w:r>
        <w:rPr>
          <w:rFonts w:hint="default" w:ascii="Times New Roman" w:hAnsi="Times New Roman" w:eastAsia="方正仿宋简体" w:cs="Times New Roman"/>
          <w:bCs/>
          <w:sz w:val="32"/>
          <w:szCs w:val="32"/>
        </w:rPr>
        <w:t>%，计算机、通信和其他电子设备制造业增长</w:t>
      </w:r>
      <w:r>
        <w:rPr>
          <w:rFonts w:hint="default" w:ascii="Times New Roman" w:hAnsi="Times New Roman" w:eastAsia="方正仿宋简体" w:cs="Times New Roman"/>
          <w:sz w:val="32"/>
          <w:szCs w:val="32"/>
        </w:rPr>
        <w:t>27.7</w:t>
      </w:r>
      <w:r>
        <w:rPr>
          <w:rFonts w:hint="default" w:ascii="Times New Roman" w:hAnsi="Times New Roman" w:eastAsia="方正仿宋简体" w:cs="Times New Roman"/>
          <w:bCs/>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bCs/>
          <w:sz w:val="32"/>
          <w:szCs w:val="32"/>
        </w:rPr>
        <w:t>石油、煤炭及其他燃料加工业增长</w:t>
      </w:r>
      <w:r>
        <w:rPr>
          <w:rFonts w:hint="default" w:ascii="Times New Roman" w:hAnsi="Times New Roman" w:eastAsia="方正仿宋简体" w:cs="Times New Roman"/>
          <w:sz w:val="32"/>
          <w:szCs w:val="32"/>
        </w:rPr>
        <w:t>10.3</w:t>
      </w:r>
      <w:r>
        <w:rPr>
          <w:rFonts w:hint="default" w:ascii="Times New Roman" w:hAnsi="Times New Roman" w:eastAsia="方正仿宋简体" w:cs="Times New Roman"/>
          <w:bCs/>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表4  2023年云南规模以上工业主要产品产量及增长速度</w:t>
      </w:r>
    </w:p>
    <w:tbl>
      <w:tblPr>
        <w:tblStyle w:val="12"/>
        <w:tblW w:w="8692" w:type="dxa"/>
        <w:jc w:val="center"/>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Layout w:type="fixed"/>
        <w:tblCellMar>
          <w:top w:w="0" w:type="dxa"/>
          <w:left w:w="74" w:type="dxa"/>
          <w:bottom w:w="0" w:type="dxa"/>
          <w:right w:w="482" w:type="dxa"/>
        </w:tblCellMar>
      </w:tblPr>
      <w:tblGrid>
        <w:gridCol w:w="2460"/>
        <w:gridCol w:w="1645"/>
        <w:gridCol w:w="2268"/>
        <w:gridCol w:w="2319"/>
      </w:tblGrid>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trHeight w:val="600" w:hRule="atLeast"/>
          <w:tblHeader/>
          <w:jc w:val="center"/>
        </w:trPr>
        <w:tc>
          <w:tcPr>
            <w:tcW w:w="2460" w:type="dxa"/>
            <w:tcBorders>
              <w:bottom w:val="single" w:color="000000" w:sz="8" w:space="0"/>
              <w:tl2br w:val="nil"/>
              <w:tr2bl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产 品 名 称</w:t>
            </w:r>
          </w:p>
        </w:tc>
        <w:tc>
          <w:tcPr>
            <w:tcW w:w="1645" w:type="dxa"/>
            <w:tcBorders>
              <w:bottom w:val="single" w:color="000000" w:sz="8" w:space="0"/>
              <w:tl2br w:val="nil"/>
              <w:tr2bl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单  位</w:t>
            </w:r>
          </w:p>
        </w:tc>
        <w:tc>
          <w:tcPr>
            <w:tcW w:w="2268" w:type="dxa"/>
            <w:tcBorders>
              <w:bottom w:val="single" w:color="000000" w:sz="8" w:space="0"/>
              <w:tl2br w:val="nil"/>
              <w:tr2bl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产  量</w:t>
            </w:r>
          </w:p>
        </w:tc>
        <w:tc>
          <w:tcPr>
            <w:tcW w:w="2319" w:type="dxa"/>
            <w:tcBorders>
              <w:bottom w:val="single" w:color="000000" w:sz="8" w:space="0"/>
              <w:tl2br w:val="nil"/>
              <w:tr2bl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eastAsia" w:ascii="方正黑体简体" w:hAnsi="方正黑体简体" w:eastAsia="方正黑体简体" w:cs="方正黑体简体"/>
                <w:b w:val="0"/>
                <w:bCs w:val="0"/>
                <w:sz w:val="22"/>
              </w:rPr>
            </w:pPr>
            <w:r>
              <w:rPr>
                <w:rFonts w:hint="eastAsia" w:ascii="方正黑体简体" w:hAnsi="方正黑体简体" w:eastAsia="方正黑体简体" w:cs="方正黑体简体"/>
                <w:b w:val="0"/>
                <w:bCs w:val="0"/>
                <w:kern w:val="0"/>
                <w:sz w:val="22"/>
              </w:rPr>
              <w:t>比上年增长（%）</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single" w:color="000000" w:sz="8" w:space="0"/>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b/>
                <w:bCs/>
                <w:kern w:val="0"/>
                <w:sz w:val="22"/>
              </w:rPr>
            </w:pPr>
            <w:r>
              <w:rPr>
                <w:rFonts w:hint="default" w:ascii="Times New Roman" w:hAnsi="Times New Roman" w:cs="Times New Roman"/>
                <w:kern w:val="0"/>
                <w:sz w:val="22"/>
              </w:rPr>
              <w:t>规上工业发电量</w:t>
            </w:r>
          </w:p>
        </w:tc>
        <w:tc>
          <w:tcPr>
            <w:tcW w:w="1645" w:type="dxa"/>
            <w:tcBorders>
              <w:top w:val="single" w:color="000000" w:sz="8" w:space="0"/>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b/>
                <w:bCs/>
                <w:kern w:val="0"/>
                <w:sz w:val="22"/>
              </w:rPr>
            </w:pPr>
            <w:r>
              <w:rPr>
                <w:rFonts w:hint="default" w:ascii="Times New Roman" w:hAnsi="Times New Roman" w:cs="Times New Roman"/>
                <w:kern w:val="0"/>
                <w:sz w:val="22"/>
              </w:rPr>
              <w:t>亿千瓦时</w:t>
            </w:r>
          </w:p>
        </w:tc>
        <w:tc>
          <w:tcPr>
            <w:tcW w:w="2268" w:type="dxa"/>
            <w:tcBorders>
              <w:top w:val="single" w:color="000000" w:sz="8" w:space="0"/>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3905.06</w:t>
            </w:r>
          </w:p>
        </w:tc>
        <w:tc>
          <w:tcPr>
            <w:tcW w:w="2319" w:type="dxa"/>
            <w:tcBorders>
              <w:top w:val="single" w:color="000000" w:sz="8" w:space="0"/>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3.5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b/>
                <w:bCs/>
                <w:kern w:val="0"/>
                <w:sz w:val="22"/>
              </w:rPr>
            </w:pPr>
            <w:r>
              <w:rPr>
                <w:rFonts w:hint="default" w:ascii="Times New Roman" w:hAnsi="Times New Roman" w:cs="Times New Roman"/>
                <w:kern w:val="0"/>
                <w:sz w:val="22"/>
              </w:rPr>
              <w:t xml:space="preserve">  其中：水电</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b/>
                <w:bCs/>
                <w:kern w:val="0"/>
                <w:sz w:val="22"/>
              </w:rPr>
            </w:pPr>
            <w:r>
              <w:rPr>
                <w:rFonts w:hint="default" w:ascii="Times New Roman" w:hAnsi="Times New Roman" w:cs="Times New Roman"/>
                <w:kern w:val="0"/>
                <w:sz w:val="22"/>
              </w:rPr>
              <w:t>亿千瓦时</w:t>
            </w:r>
          </w:p>
        </w:tc>
        <w:tc>
          <w:tcPr>
            <w:tcW w:w="2268" w:type="dxa"/>
            <w:tcBorders>
              <w:top w:val="nil"/>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2897.65</w:t>
            </w:r>
          </w:p>
        </w:tc>
        <w:tc>
          <w:tcPr>
            <w:tcW w:w="2319" w:type="dxa"/>
            <w:tcBorders>
              <w:top w:val="nil"/>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-5.2</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b/>
                <w:bCs/>
                <w:kern w:val="0"/>
                <w:sz w:val="22"/>
              </w:rPr>
            </w:pPr>
            <w:r>
              <w:rPr>
                <w:rFonts w:hint="default" w:ascii="Times New Roman" w:hAnsi="Times New Roman" w:cs="Times New Roman"/>
                <w:kern w:val="0"/>
                <w:sz w:val="22"/>
              </w:rPr>
              <w:t xml:space="preserve">        火电</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b/>
                <w:bCs/>
                <w:kern w:val="0"/>
                <w:sz w:val="22"/>
              </w:rPr>
            </w:pPr>
            <w:r>
              <w:rPr>
                <w:rFonts w:hint="default" w:ascii="Times New Roman" w:hAnsi="Times New Roman" w:cs="Times New Roman"/>
                <w:kern w:val="0"/>
                <w:sz w:val="22"/>
              </w:rPr>
              <w:t>亿千瓦时</w:t>
            </w:r>
          </w:p>
        </w:tc>
        <w:tc>
          <w:tcPr>
            <w:tcW w:w="2268" w:type="dxa"/>
            <w:tcBorders>
              <w:top w:val="nil"/>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640.29</w:t>
            </w:r>
          </w:p>
        </w:tc>
        <w:tc>
          <w:tcPr>
            <w:tcW w:w="2319" w:type="dxa"/>
            <w:tcBorders>
              <w:top w:val="nil"/>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eastAsia" w:ascii="Times New Roman" w:hAnsi="Times New Roman" w:cs="Times New Roman"/>
                <w:sz w:val="22"/>
                <w:lang w:val="en-US" w:eastAsia="zh-CN"/>
              </w:rPr>
              <w:t xml:space="preserve">    </w:t>
            </w:r>
            <w:r>
              <w:rPr>
                <w:rFonts w:hint="default" w:ascii="Times New Roman" w:hAnsi="Times New Roman" w:cs="Times New Roman"/>
                <w:sz w:val="22"/>
              </w:rPr>
              <w:t>38.6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sz w:val="22"/>
              </w:rPr>
              <w:t>单晶硅</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万千克</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37469.58</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43.0</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粗  钢</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2309.61</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成品钢材</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2459.03</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-2.9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十种有色金属</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lang w:val="en-US" w:eastAsia="zh-CN"/>
              </w:rPr>
            </w:pPr>
            <w:r>
              <w:rPr>
                <w:rFonts w:hint="default" w:ascii="Times New Roman" w:hAnsi="Times New Roman" w:cs="Times New Roman"/>
                <w:sz w:val="22"/>
                <w:lang w:val="en-US" w:eastAsia="zh-CN"/>
              </w:rPr>
              <w:t>764.24</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 xml:space="preserve">  其中：电解铝</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438.74</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5.6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卷  烟</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万箱</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712.59</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成品糖</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240.68</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-6.9</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化  肥</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250.64</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5.8</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sz w:val="22"/>
              </w:rPr>
              <w:t>原  盐</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168.05</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 xml:space="preserve">精制茶 </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11.63</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-20.1</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中成药</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7.80</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24.0</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sz w:val="22"/>
              </w:rPr>
              <w:t>黄  磷</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49.37</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-6.5</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水  泥</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万吨</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9610.49</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-0.6</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bottom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平板玻璃</w:t>
            </w:r>
          </w:p>
        </w:tc>
        <w:tc>
          <w:tcPr>
            <w:tcW w:w="1645" w:type="dxa"/>
            <w:tcBorders>
              <w:top w:val="nil"/>
              <w:bottom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万重量箱</w:t>
            </w:r>
          </w:p>
        </w:tc>
        <w:tc>
          <w:tcPr>
            <w:tcW w:w="2268"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1158.13</w:t>
            </w:r>
          </w:p>
        </w:tc>
        <w:tc>
          <w:tcPr>
            <w:tcW w:w="2319" w:type="dxa"/>
            <w:tcBorders>
              <w:top w:val="nil"/>
              <w:bottom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-31.4</w:t>
            </w:r>
          </w:p>
        </w:tc>
      </w:tr>
      <w:tr>
        <w:tblPrEx>
          <w:tblBorders>
            <w:top w:val="single" w:color="000000" w:sz="12" w:space="0"/>
            <w:left w:val="none" w:color="auto" w:sz="0" w:space="0"/>
            <w:bottom w:val="single" w:color="000000" w:sz="12" w:space="0"/>
            <w:right w:val="none" w:color="auto" w:sz="0" w:space="0"/>
            <w:insideH w:val="single" w:color="000000" w:sz="12" w:space="0"/>
            <w:insideV w:val="single" w:color="000000" w:sz="4" w:space="0"/>
          </w:tblBorders>
          <w:tblCellMar>
            <w:top w:w="0" w:type="dxa"/>
            <w:left w:w="74" w:type="dxa"/>
            <w:bottom w:w="0" w:type="dxa"/>
            <w:right w:w="482" w:type="dxa"/>
          </w:tblCellMar>
        </w:tblPrEx>
        <w:trPr>
          <w:cantSplit/>
          <w:trHeight w:val="386" w:hRule="atLeast"/>
          <w:jc w:val="center"/>
        </w:trPr>
        <w:tc>
          <w:tcPr>
            <w:tcW w:w="2460" w:type="dxa"/>
            <w:tcBorders>
              <w:top w:val="nil"/>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left"/>
              <w:textAlignment w:val="bottom"/>
              <w:rPr>
                <w:rFonts w:hint="default" w:ascii="Times New Roman" w:hAnsi="Times New Roman" w:cs="Times New Roman"/>
                <w:sz w:val="22"/>
              </w:rPr>
            </w:pPr>
            <w:r>
              <w:rPr>
                <w:rFonts w:hint="default" w:ascii="Times New Roman" w:hAnsi="Times New Roman" w:cs="Times New Roman"/>
                <w:kern w:val="0"/>
                <w:sz w:val="22"/>
              </w:rPr>
              <w:t>汽  车</w:t>
            </w:r>
          </w:p>
        </w:tc>
        <w:tc>
          <w:tcPr>
            <w:tcW w:w="1645" w:type="dxa"/>
            <w:tcBorders>
              <w:top w:val="nil"/>
            </w:tcBorders>
            <w:shd w:val="clear" w:color="auto" w:fill="FFFFFF"/>
            <w:tcMar>
              <w:right w:w="0" w:type="dxa"/>
            </w:tcMar>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rPr>
              <w:t>辆</w:t>
            </w:r>
          </w:p>
        </w:tc>
        <w:tc>
          <w:tcPr>
            <w:tcW w:w="2268" w:type="dxa"/>
            <w:tcBorders>
              <w:top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18178</w:t>
            </w:r>
          </w:p>
        </w:tc>
        <w:tc>
          <w:tcPr>
            <w:tcW w:w="2319" w:type="dxa"/>
            <w:tcBorders>
              <w:top w:val="nil"/>
            </w:tcBorders>
            <w:shd w:val="clear" w:color="auto" w:fill="FFFFFF"/>
            <w:tcMar>
              <w:right w:w="68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right"/>
              <w:textAlignment w:val="bottom"/>
              <w:rPr>
                <w:rFonts w:hint="default" w:ascii="Times New Roman" w:hAnsi="Times New Roman" w:cs="Times New Roman"/>
                <w:sz w:val="22"/>
              </w:rPr>
            </w:pPr>
            <w:r>
              <w:rPr>
                <w:rFonts w:hint="default" w:ascii="Times New Roman" w:hAnsi="Times New Roman" w:cs="Times New Roman"/>
                <w:sz w:val="22"/>
                <w:lang w:val="en-US" w:eastAsia="zh-CN"/>
              </w:rPr>
              <w:t>-18.5</w:t>
            </w:r>
          </w:p>
        </w:tc>
      </w:tr>
    </w:tbl>
    <w:p>
      <w:pPr>
        <w:keepNext w:val="0"/>
        <w:keepLines w:val="0"/>
        <w:pageBreakBefore w:val="0"/>
        <w:widowControl w:val="0"/>
        <w:kinsoku/>
        <w:wordWrap/>
        <w:overflowPunct w:val="0"/>
        <w:topLinePunct w:val="0"/>
        <w:autoSpaceDE/>
        <w:autoSpaceDN/>
        <w:bidi w:val="0"/>
        <w:adjustRightInd/>
        <w:snapToGrid/>
        <w:spacing w:before="157" w:beforeLines="50" w:line="560"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全年规模以上工业十种有色金属产量764.24万吨，比上年增长2.6%</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其中电解铝产量438.74万吨，增长5.6%</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单晶硅产量37469.58万千克，增长43.0%</w:t>
      </w:r>
      <w:r>
        <w:rPr>
          <w:rFonts w:hint="eastAsia" w:ascii="Times New Roman" w:hAnsi="Times New Roman" w:eastAsia="方正仿宋简体" w:cs="Times New Roman"/>
          <w:color w:val="auto"/>
          <w:sz w:val="32"/>
          <w:szCs w:val="32"/>
          <w:lang w:eastAsia="zh-CN"/>
        </w:rPr>
        <w:t>。化肥产量</w:t>
      </w:r>
      <w:r>
        <w:rPr>
          <w:rFonts w:hint="eastAsia" w:ascii="Times New Roman" w:hAnsi="Times New Roman" w:eastAsia="方正仿宋简体" w:cs="Times New Roman"/>
          <w:color w:val="auto"/>
          <w:sz w:val="32"/>
          <w:szCs w:val="32"/>
          <w:lang w:val="en-US" w:eastAsia="zh-CN"/>
        </w:rPr>
        <w:t>250.64万吨，增长5.8%。</w:t>
      </w:r>
      <w:r>
        <w:rPr>
          <w:rFonts w:hint="default" w:ascii="Times New Roman" w:hAnsi="Times New Roman" w:eastAsia="方正仿宋简体" w:cs="Times New Roman"/>
          <w:color w:val="auto"/>
          <w:sz w:val="32"/>
          <w:szCs w:val="32"/>
        </w:rPr>
        <w:t>原盐产量168.05万吨，增长1.6%</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卷烟产量712.59万箱，增长0.5%。</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全年规模以上工业企业实现利税3274.66亿元，比上年增长9.2%，实现利润1501.91亿元，增长12.6%。</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bCs/>
          <w:color w:val="auto"/>
          <w:sz w:val="32"/>
          <w:szCs w:val="32"/>
        </w:rPr>
      </w:pPr>
      <w:r>
        <w:rPr>
          <w:rFonts w:hint="default" w:ascii="Times New Roman" w:hAnsi="Times New Roman" w:eastAsia="方正仿宋简体" w:cs="Times New Roman"/>
          <w:color w:val="auto"/>
          <w:sz w:val="32"/>
          <w:szCs w:val="32"/>
        </w:rPr>
        <w:t>全年全社会建筑业增加值</w:t>
      </w:r>
      <w:r>
        <w:rPr>
          <w:rFonts w:hint="default" w:ascii="Times New Roman" w:hAnsi="Times New Roman" w:eastAsia="方正仿宋简体" w:cs="Times New Roman"/>
          <w:color w:val="auto"/>
          <w:sz w:val="32"/>
          <w:szCs w:val="32"/>
          <w:lang w:val="en-US" w:eastAsia="zh-CN"/>
        </w:rPr>
        <w:t>3064.62</w:t>
      </w:r>
      <w:r>
        <w:rPr>
          <w:rFonts w:hint="default" w:ascii="Times New Roman" w:hAnsi="Times New Roman" w:eastAsia="方正仿宋简体" w:cs="Times New Roman"/>
          <w:color w:val="auto"/>
          <w:sz w:val="32"/>
          <w:szCs w:val="32"/>
        </w:rPr>
        <w:t>亿元，比上年</w:t>
      </w:r>
      <w:r>
        <w:rPr>
          <w:rFonts w:hint="default" w:ascii="Times New Roman" w:hAnsi="Times New Roman" w:eastAsia="方正仿宋简体" w:cs="Times New Roman"/>
          <w:color w:val="auto"/>
          <w:sz w:val="32"/>
          <w:szCs w:val="32"/>
          <w:lang w:eastAsia="zh-CN"/>
        </w:rPr>
        <w:t>下降</w:t>
      </w:r>
      <w:r>
        <w:rPr>
          <w:rFonts w:hint="default" w:ascii="Times New Roman" w:hAnsi="Times New Roman" w:eastAsia="方正仿宋简体" w:cs="Times New Roman"/>
          <w:color w:val="auto"/>
          <w:sz w:val="32"/>
          <w:szCs w:val="32"/>
          <w:lang w:val="en-US" w:eastAsia="zh-CN"/>
        </w:rPr>
        <w:t>1.8</w:t>
      </w:r>
      <w:r>
        <w:rPr>
          <w:rFonts w:hint="default" w:ascii="Times New Roman" w:hAnsi="Times New Roman" w:eastAsia="方正仿宋简体" w:cs="Times New Roman"/>
          <w:color w:val="auto"/>
          <w:sz w:val="32"/>
          <w:szCs w:val="32"/>
        </w:rPr>
        <w:t>%。全省具有资质等级的总承包和专业承包建筑业企业完成总产值</w:t>
      </w:r>
      <w:r>
        <w:rPr>
          <w:rFonts w:hint="default" w:ascii="Times New Roman" w:hAnsi="Times New Roman" w:eastAsia="方正仿宋简体" w:cs="Times New Roman"/>
          <w:color w:val="auto"/>
          <w:sz w:val="32"/>
          <w:szCs w:val="32"/>
          <w:lang w:val="en-US" w:eastAsia="zh-CN"/>
        </w:rPr>
        <w:t>7890.88</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0.7</w:t>
      </w:r>
      <w:r>
        <w:rPr>
          <w:rFonts w:hint="default" w:ascii="Times New Roman" w:hAnsi="Times New Roman" w:eastAsia="方正仿宋简体" w:cs="Times New Roman"/>
          <w:color w:val="auto"/>
          <w:sz w:val="32"/>
          <w:szCs w:val="32"/>
        </w:rPr>
        <w:t>%；</w:t>
      </w:r>
      <w:r>
        <w:rPr>
          <w:rFonts w:hint="eastAsia" w:ascii="Times New Roman" w:hAnsi="Times New Roman" w:eastAsia="方正仿宋简体" w:cs="Times New Roman"/>
          <w:color w:val="auto"/>
          <w:sz w:val="32"/>
          <w:szCs w:val="32"/>
          <w:lang w:eastAsia="zh-CN"/>
        </w:rPr>
        <w:t>利润总额</w:t>
      </w:r>
      <w:r>
        <w:rPr>
          <w:rFonts w:hint="default" w:ascii="Times New Roman" w:hAnsi="Times New Roman" w:eastAsia="方正仿宋简体" w:cs="Times New Roman"/>
          <w:color w:val="auto"/>
          <w:sz w:val="32"/>
          <w:szCs w:val="32"/>
          <w:lang w:val="en-US" w:eastAsia="zh-CN"/>
        </w:rPr>
        <w:t>268.18</w:t>
      </w:r>
      <w:r>
        <w:rPr>
          <w:rFonts w:hint="default" w:ascii="Times New Roman" w:hAnsi="Times New Roman" w:eastAsia="方正仿宋简体" w:cs="Times New Roman"/>
          <w:color w:val="auto"/>
          <w:sz w:val="32"/>
          <w:szCs w:val="32"/>
        </w:rPr>
        <w:t>亿元，</w:t>
      </w:r>
      <w:r>
        <w:rPr>
          <w:rFonts w:hint="default" w:ascii="Times New Roman" w:hAnsi="Times New Roman" w:eastAsia="方正仿宋简体" w:cs="Times New Roman"/>
          <w:color w:val="auto"/>
          <w:sz w:val="32"/>
          <w:szCs w:val="32"/>
          <w:lang w:eastAsia="zh-CN"/>
        </w:rPr>
        <w:t>增长</w:t>
      </w:r>
      <w:r>
        <w:rPr>
          <w:rFonts w:hint="default" w:ascii="Times New Roman" w:hAnsi="Times New Roman" w:eastAsia="方正仿宋简体" w:cs="Times New Roman"/>
          <w:color w:val="auto"/>
          <w:sz w:val="32"/>
          <w:szCs w:val="32"/>
          <w:lang w:val="en-US" w:eastAsia="zh-CN"/>
        </w:rPr>
        <w:t>40.5%</w:t>
      </w:r>
      <w:r>
        <w:rPr>
          <w:rFonts w:hint="default" w:ascii="Times New Roman" w:hAnsi="Times New Roman" w:eastAsia="方正仿宋简体" w:cs="Times New Roman"/>
          <w:color w:val="auto"/>
          <w:sz w:val="32"/>
          <w:szCs w:val="32"/>
        </w:rPr>
        <w:t>；上缴税金</w:t>
      </w:r>
      <w:r>
        <w:rPr>
          <w:rFonts w:hint="default" w:ascii="Times New Roman" w:hAnsi="Times New Roman" w:eastAsia="方正仿宋简体" w:cs="Times New Roman"/>
          <w:color w:val="auto"/>
          <w:sz w:val="32"/>
          <w:szCs w:val="32"/>
          <w:lang w:val="en-US" w:eastAsia="zh-CN"/>
        </w:rPr>
        <w:t>172.84</w:t>
      </w:r>
      <w:r>
        <w:rPr>
          <w:rFonts w:hint="default" w:ascii="Times New Roman" w:hAnsi="Times New Roman" w:eastAsia="方正仿宋简体" w:cs="Times New Roman"/>
          <w:color w:val="auto"/>
          <w:sz w:val="32"/>
          <w:szCs w:val="32"/>
        </w:rPr>
        <w:t>亿元，</w:t>
      </w:r>
      <w:r>
        <w:rPr>
          <w:rFonts w:hint="default" w:ascii="Times New Roman" w:hAnsi="Times New Roman" w:eastAsia="方正仿宋简体" w:cs="Times New Roman"/>
          <w:color w:val="auto"/>
          <w:sz w:val="32"/>
          <w:szCs w:val="32"/>
          <w:lang w:eastAsia="zh-CN"/>
        </w:rPr>
        <w:t>增长</w:t>
      </w:r>
      <w:r>
        <w:rPr>
          <w:rFonts w:hint="default" w:ascii="Times New Roman" w:hAnsi="Times New Roman" w:eastAsia="方正仿宋简体" w:cs="Times New Roman"/>
          <w:color w:val="auto"/>
          <w:sz w:val="32"/>
          <w:szCs w:val="32"/>
          <w:lang w:val="en-US" w:eastAsia="zh-CN"/>
        </w:rPr>
        <w:t>16.0</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jc w:val="center"/>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五、服务业</w:t>
      </w:r>
    </w:p>
    <w:p>
      <w:pPr>
        <w:keepNext w:val="0"/>
        <w:keepLines w:val="0"/>
        <w:pageBreakBefore w:val="0"/>
        <w:widowControl w:val="0"/>
        <w:kinsoku/>
        <w:wordWrap/>
        <w:overflowPunct w:val="0"/>
        <w:topLinePunct w:val="0"/>
        <w:autoSpaceDE/>
        <w:autoSpaceDN/>
        <w:bidi w:val="0"/>
        <w:adjustRightInd/>
        <w:snapToGrid/>
        <w:spacing w:after="157" w:afterLines="50" w:line="560" w:lineRule="exact"/>
        <w:ind w:left="0" w:leftChars="0" w:firstLine="640" w:firstLineChars="200"/>
        <w:textAlignment w:val="auto"/>
        <w:rPr>
          <w:rFonts w:hint="default" w:ascii="Times New Roman" w:hAnsi="Times New Roman" w:eastAsia="方正仿宋简体" w:cs="Times New Roman"/>
          <w:color w:val="auto"/>
          <w:kern w:val="0"/>
          <w:sz w:val="32"/>
          <w:szCs w:val="32"/>
          <w:shd w:val="clear" w:color="auto" w:fill="FFFFFF"/>
        </w:rPr>
      </w:pPr>
      <w:r>
        <w:rPr>
          <w:rFonts w:hint="default" w:ascii="Times New Roman" w:hAnsi="Times New Roman" w:eastAsia="方正仿宋简体" w:cs="Times New Roman"/>
          <w:color w:val="auto"/>
          <w:sz w:val="32"/>
          <w:szCs w:val="32"/>
        </w:rPr>
        <w:t>全年</w:t>
      </w:r>
      <w:r>
        <w:rPr>
          <w:rFonts w:hint="default" w:ascii="Times New Roman" w:hAnsi="Times New Roman" w:eastAsia="方正仿宋简体" w:cs="Times New Roman"/>
          <w:color w:val="auto"/>
          <w:kern w:val="0"/>
          <w:sz w:val="32"/>
          <w:szCs w:val="32"/>
          <w:shd w:val="clear" w:color="auto" w:fill="FFFFFF"/>
        </w:rPr>
        <w:t>规模以上服务业</w:t>
      </w:r>
      <w:r>
        <w:rPr>
          <w:rStyle w:val="14"/>
          <w:rFonts w:hint="default" w:ascii="Times New Roman" w:hAnsi="Times New Roman" w:eastAsia="方正仿宋简体" w:cs="Times New Roman"/>
          <w:color w:val="auto"/>
          <w:kern w:val="0"/>
          <w:sz w:val="32"/>
          <w:szCs w:val="32"/>
          <w:shd w:val="clear" w:color="auto" w:fill="FFFFFF"/>
        </w:rPr>
        <w:t>[</w:t>
      </w:r>
      <w:r>
        <w:rPr>
          <w:rStyle w:val="14"/>
          <w:rFonts w:hint="default" w:ascii="Times New Roman" w:hAnsi="Times New Roman" w:eastAsia="方正仿宋简体" w:cs="Times New Roman"/>
          <w:color w:val="auto"/>
          <w:kern w:val="0"/>
          <w:sz w:val="32"/>
          <w:szCs w:val="32"/>
          <w:shd w:val="clear" w:color="auto" w:fill="FFFFFF"/>
        </w:rPr>
        <w:endnoteReference w:id="10"/>
      </w:r>
      <w:r>
        <w:rPr>
          <w:rStyle w:val="14"/>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kern w:val="0"/>
          <w:sz w:val="32"/>
          <w:szCs w:val="32"/>
          <w:shd w:val="clear" w:color="auto" w:fill="FFFFFF"/>
        </w:rPr>
        <w:t>实现营业收入</w:t>
      </w:r>
      <w:r>
        <w:rPr>
          <w:rFonts w:hint="default" w:ascii="Times New Roman" w:hAnsi="Times New Roman" w:eastAsia="方正仿宋简体" w:cs="Times New Roman"/>
          <w:sz w:val="32"/>
          <w:szCs w:val="32"/>
        </w:rPr>
        <w:t>3187.60</w:t>
      </w:r>
      <w:r>
        <w:rPr>
          <w:rFonts w:hint="default" w:ascii="Times New Roman" w:hAnsi="Times New Roman" w:eastAsia="方正仿宋简体" w:cs="Times New Roman"/>
          <w:color w:val="auto"/>
          <w:kern w:val="0"/>
          <w:sz w:val="32"/>
          <w:szCs w:val="32"/>
          <w:shd w:val="clear" w:color="auto" w:fill="FFFFFF"/>
        </w:rPr>
        <w:t>亿元，比上年增长</w:t>
      </w:r>
      <w:r>
        <w:rPr>
          <w:rFonts w:hint="default" w:ascii="Times New Roman" w:hAnsi="Times New Roman" w:eastAsia="方正仿宋简体" w:cs="Times New Roman"/>
          <w:kern w:val="0"/>
          <w:sz w:val="32"/>
          <w:szCs w:val="32"/>
          <w:shd w:val="clear" w:color="auto" w:fill="FFFFFF"/>
        </w:rPr>
        <w:t>18.9%</w:t>
      </w:r>
      <w:r>
        <w:rPr>
          <w:rFonts w:hint="default" w:ascii="Times New Roman" w:hAnsi="Times New Roman" w:eastAsia="方正仿宋简体" w:cs="Times New Roman"/>
          <w:color w:val="auto"/>
          <w:kern w:val="0"/>
          <w:sz w:val="32"/>
          <w:szCs w:val="32"/>
          <w:shd w:val="clear" w:color="auto" w:fill="FFFFFF"/>
        </w:rPr>
        <w:t>。</w:t>
      </w:r>
      <w:r>
        <w:rPr>
          <w:rFonts w:hint="default" w:ascii="Times New Roman" w:hAnsi="Times New Roman" w:eastAsia="方正仿宋简体" w:cs="Times New Roman"/>
          <w:color w:val="auto"/>
          <w:sz w:val="32"/>
          <w:szCs w:val="32"/>
        </w:rPr>
        <w:t>重点行业营业收入增长</w:t>
      </w:r>
      <w:r>
        <w:rPr>
          <w:rFonts w:hint="default" w:ascii="Times New Roman" w:hAnsi="Times New Roman" w:eastAsia="方正仿宋简体" w:cs="Times New Roman"/>
          <w:kern w:val="0"/>
          <w:sz w:val="32"/>
          <w:szCs w:val="32"/>
          <w:shd w:val="clear" w:color="auto" w:fill="FFFFFF"/>
        </w:rPr>
        <w:t>20.0%</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其中，</w:t>
      </w:r>
      <w:r>
        <w:rPr>
          <w:rFonts w:hint="default" w:ascii="Times New Roman" w:hAnsi="Times New Roman" w:eastAsia="方正仿宋简体" w:cs="Times New Roman"/>
          <w:color w:val="auto"/>
          <w:kern w:val="0"/>
          <w:sz w:val="32"/>
          <w:szCs w:val="32"/>
          <w:shd w:val="clear" w:color="auto" w:fill="FFFFFF"/>
        </w:rPr>
        <w:t>多式联运和运输代理业增长</w:t>
      </w:r>
      <w:r>
        <w:rPr>
          <w:rFonts w:hint="default" w:ascii="Times New Roman" w:hAnsi="Times New Roman" w:eastAsia="方正仿宋简体" w:cs="Times New Roman"/>
          <w:kern w:val="0"/>
          <w:sz w:val="32"/>
          <w:szCs w:val="32"/>
          <w:shd w:val="clear" w:color="auto" w:fill="FFFFFF"/>
        </w:rPr>
        <w:t>25.6%</w:t>
      </w:r>
      <w:r>
        <w:rPr>
          <w:rFonts w:hint="eastAsia"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color w:val="auto"/>
          <w:sz w:val="32"/>
          <w:szCs w:val="32"/>
        </w:rPr>
        <w:t>装卸搬运和仓储业增长</w:t>
      </w:r>
      <w:r>
        <w:rPr>
          <w:rFonts w:hint="default" w:ascii="Times New Roman" w:hAnsi="Times New Roman" w:eastAsia="方正仿宋简体" w:cs="Times New Roman"/>
          <w:kern w:val="0"/>
          <w:sz w:val="32"/>
          <w:szCs w:val="32"/>
          <w:shd w:val="clear" w:color="auto" w:fill="FFFFFF"/>
        </w:rPr>
        <w:t>0.8%</w:t>
      </w:r>
      <w:r>
        <w:rPr>
          <w:rFonts w:hint="eastAsia"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kern w:val="0"/>
          <w:sz w:val="32"/>
          <w:szCs w:val="32"/>
          <w:shd w:val="clear" w:color="auto" w:fill="FFFFFF"/>
        </w:rPr>
        <w:t>互联网和相关服务增长54.8%</w:t>
      </w:r>
      <w:r>
        <w:rPr>
          <w:rFonts w:hint="eastAsia" w:ascii="Times New Roman" w:hAnsi="Times New Roman" w:eastAsia="方正仿宋简体" w:cs="Times New Roman"/>
          <w:kern w:val="0"/>
          <w:sz w:val="32"/>
          <w:szCs w:val="32"/>
          <w:shd w:val="clear" w:color="auto" w:fill="FFFFFF"/>
          <w:lang w:eastAsia="zh-CN"/>
        </w:rPr>
        <w:t>，</w:t>
      </w:r>
      <w:r>
        <w:rPr>
          <w:rFonts w:hint="default" w:ascii="Times New Roman" w:hAnsi="Times New Roman" w:eastAsia="方正仿宋简体" w:cs="Times New Roman"/>
          <w:kern w:val="0"/>
          <w:sz w:val="32"/>
          <w:szCs w:val="32"/>
          <w:shd w:val="clear" w:color="auto" w:fill="FFFFFF"/>
        </w:rPr>
        <w:t>软件和信息技术服务业增长75.8%</w:t>
      </w:r>
      <w:r>
        <w:rPr>
          <w:rFonts w:hint="eastAsia" w:ascii="Times New Roman" w:hAnsi="Times New Roman" w:eastAsia="方正仿宋简体" w:cs="Times New Roman"/>
          <w:kern w:val="0"/>
          <w:sz w:val="32"/>
          <w:szCs w:val="32"/>
          <w:shd w:val="clear" w:color="auto" w:fill="FFFFFF"/>
          <w:lang w:eastAsia="zh-CN"/>
        </w:rPr>
        <w:t>，</w:t>
      </w:r>
      <w:r>
        <w:rPr>
          <w:rFonts w:hint="default" w:ascii="Times New Roman" w:hAnsi="Times New Roman" w:eastAsia="方正仿宋简体" w:cs="Times New Roman"/>
          <w:color w:val="auto"/>
          <w:kern w:val="0"/>
          <w:sz w:val="32"/>
          <w:szCs w:val="32"/>
          <w:shd w:val="clear" w:color="auto" w:fill="FFFFFF"/>
        </w:rPr>
        <w:t>租赁和商务服务业增长</w:t>
      </w:r>
      <w:r>
        <w:rPr>
          <w:rFonts w:hint="default" w:ascii="Times New Roman" w:hAnsi="Times New Roman" w:eastAsia="方正仿宋简体" w:cs="Times New Roman"/>
          <w:kern w:val="0"/>
          <w:sz w:val="32"/>
          <w:szCs w:val="32"/>
          <w:shd w:val="clear" w:color="auto" w:fill="FFFFFF"/>
        </w:rPr>
        <w:t>17.1%</w:t>
      </w:r>
      <w:r>
        <w:rPr>
          <w:rFonts w:hint="eastAsia"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color w:val="auto"/>
          <w:kern w:val="0"/>
          <w:sz w:val="32"/>
          <w:szCs w:val="32"/>
          <w:shd w:val="clear" w:color="auto" w:fill="FFFFFF"/>
        </w:rPr>
        <w:t>科学研究和技术服务业增长</w:t>
      </w:r>
      <w:r>
        <w:rPr>
          <w:rFonts w:hint="default" w:ascii="Times New Roman" w:hAnsi="Times New Roman" w:eastAsia="方正仿宋简体" w:cs="Times New Roman"/>
          <w:kern w:val="0"/>
          <w:sz w:val="32"/>
          <w:szCs w:val="32"/>
          <w:shd w:val="clear" w:color="auto" w:fill="FFFFFF"/>
        </w:rPr>
        <w:t>6.0%</w:t>
      </w:r>
      <w:r>
        <w:rPr>
          <w:rFonts w:hint="eastAsia"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color w:val="auto"/>
          <w:kern w:val="0"/>
          <w:sz w:val="32"/>
          <w:szCs w:val="32"/>
          <w:shd w:val="clear" w:color="auto" w:fill="FFFFFF"/>
        </w:rPr>
        <w:t>居民服务、修理和其他服务业增长</w:t>
      </w:r>
      <w:r>
        <w:rPr>
          <w:rFonts w:hint="default" w:ascii="Times New Roman" w:hAnsi="Times New Roman" w:eastAsia="方正仿宋简体" w:cs="Times New Roman"/>
          <w:kern w:val="0"/>
          <w:sz w:val="32"/>
          <w:szCs w:val="32"/>
          <w:shd w:val="clear" w:color="auto" w:fill="FFFFFF"/>
        </w:rPr>
        <w:t>23.3%</w:t>
      </w:r>
      <w:r>
        <w:rPr>
          <w:rFonts w:hint="eastAsia" w:ascii="Times New Roman" w:hAnsi="Times New Roman" w:eastAsia="方正仿宋简体" w:cs="Times New Roman"/>
          <w:color w:val="auto"/>
          <w:kern w:val="0"/>
          <w:sz w:val="32"/>
          <w:szCs w:val="32"/>
          <w:shd w:val="clear" w:color="auto" w:fill="FFFFFF"/>
          <w:lang w:eastAsia="zh-CN"/>
        </w:rPr>
        <w:t>，</w:t>
      </w:r>
      <w:r>
        <w:rPr>
          <w:rFonts w:hint="default" w:ascii="Times New Roman" w:hAnsi="Times New Roman" w:eastAsia="方正仿宋简体" w:cs="Times New Roman"/>
          <w:color w:val="auto"/>
          <w:kern w:val="0"/>
          <w:sz w:val="32"/>
          <w:szCs w:val="32"/>
          <w:shd w:val="clear" w:color="auto" w:fill="FFFFFF"/>
        </w:rPr>
        <w:t>文化体育和娱乐业增长</w:t>
      </w:r>
      <w:r>
        <w:rPr>
          <w:rFonts w:hint="default" w:ascii="Times New Roman" w:hAnsi="Times New Roman" w:eastAsia="方正仿宋简体" w:cs="Times New Roman"/>
          <w:kern w:val="0"/>
          <w:sz w:val="32"/>
          <w:szCs w:val="32"/>
          <w:shd w:val="clear" w:color="auto" w:fill="FFFFFF"/>
        </w:rPr>
        <w:t>33.4%</w:t>
      </w:r>
      <w:r>
        <w:rPr>
          <w:rFonts w:hint="default" w:ascii="Times New Roman" w:hAnsi="Times New Roman" w:eastAsia="方正仿宋简体" w:cs="Times New Roman"/>
          <w:color w:val="auto"/>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表5  2023年规模以上服务业重点行业营业收入及增长速度</w:t>
      </w:r>
    </w:p>
    <w:tbl>
      <w:tblPr>
        <w:tblStyle w:val="12"/>
        <w:tblW w:w="7663" w:type="dxa"/>
        <w:jc w:val="center"/>
        <w:tblLayout w:type="fixed"/>
        <w:tblCellMar>
          <w:top w:w="15" w:type="dxa"/>
          <w:left w:w="15" w:type="dxa"/>
          <w:bottom w:w="15" w:type="dxa"/>
          <w:right w:w="15" w:type="dxa"/>
        </w:tblCellMar>
      </w:tblPr>
      <w:tblGrid>
        <w:gridCol w:w="3073"/>
        <w:gridCol w:w="2340"/>
        <w:gridCol w:w="2250"/>
      </w:tblGrid>
      <w:tr>
        <w:tblPrEx>
          <w:tblCellMar>
            <w:top w:w="15" w:type="dxa"/>
            <w:left w:w="15" w:type="dxa"/>
            <w:bottom w:w="15" w:type="dxa"/>
            <w:right w:w="15" w:type="dxa"/>
          </w:tblCellMar>
        </w:tblPrEx>
        <w:trPr>
          <w:trHeight w:val="690" w:hRule="atLeast"/>
          <w:jc w:val="center"/>
        </w:trPr>
        <w:tc>
          <w:tcPr>
            <w:tcW w:w="3073" w:type="dxa"/>
            <w:tcBorders>
              <w:top w:val="single" w:color="000000" w:sz="12" w:space="0"/>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kern w:val="0"/>
                <w:sz w:val="24"/>
                <w:szCs w:val="24"/>
              </w:rPr>
              <w:t>行业名称</w:t>
            </w:r>
          </w:p>
        </w:tc>
        <w:tc>
          <w:tcPr>
            <w:tcW w:w="2340" w:type="dxa"/>
            <w:tcBorders>
              <w:top w:val="single" w:color="000000" w:sz="12" w:space="0"/>
              <w:left w:val="nil"/>
              <w:bottom w:val="single" w:color="000000" w:sz="4" w:space="0"/>
              <w:right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kern w:val="0"/>
                <w:sz w:val="24"/>
                <w:szCs w:val="24"/>
              </w:rPr>
              <w:t>营业收入(亿元)</w:t>
            </w:r>
          </w:p>
        </w:tc>
        <w:tc>
          <w:tcPr>
            <w:tcW w:w="2250" w:type="dxa"/>
            <w:tcBorders>
              <w:top w:val="single" w:color="000000" w:sz="12" w:space="0"/>
              <w:left w:val="nil"/>
              <w:bottom w:val="single" w:color="000000" w:sz="4" w:space="0"/>
            </w:tcBorders>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kern w:val="0"/>
                <w:sz w:val="24"/>
                <w:szCs w:val="24"/>
              </w:rPr>
              <w:t>比上年增长（%）</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重点行业合计</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1232.40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20.0</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多式联运和运输代理业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159.78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25.6</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装卸搬运和仓储业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57.78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0.8</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互联网和相关服务</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44.78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54.8</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软件和信息技术服务业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133.94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75.8</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租赁和商务服务业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360.06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17.1</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科学研究和技术服务业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357.58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6.0</w:t>
            </w:r>
          </w:p>
        </w:tc>
      </w:tr>
      <w:tr>
        <w:tblPrEx>
          <w:tblCellMar>
            <w:top w:w="15" w:type="dxa"/>
            <w:left w:w="15" w:type="dxa"/>
            <w:bottom w:w="15" w:type="dxa"/>
            <w:right w:w="15" w:type="dxa"/>
          </w:tblCellMar>
        </w:tblPrEx>
        <w:trPr>
          <w:trHeight w:val="397" w:hRule="atLeast"/>
          <w:jc w:val="center"/>
        </w:trPr>
        <w:tc>
          <w:tcPr>
            <w:tcW w:w="3073" w:type="dxa"/>
            <w:tcBorders>
              <w:right w:val="single" w:color="000000" w:sz="4" w:space="0"/>
            </w:tcBorders>
            <w:shd w:val="clear" w:color="auto" w:fill="FFFFFF"/>
            <w:vAlign w:val="bottom"/>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bottom"/>
              <w:rPr>
                <w:rFonts w:hint="default" w:ascii="Times New Roman" w:hAnsi="Times New Roman" w:cs="Times New Roman"/>
                <w:sz w:val="22"/>
              </w:rPr>
            </w:pPr>
            <w:r>
              <w:rPr>
                <w:rFonts w:hint="default" w:ascii="Times New Roman" w:hAnsi="Times New Roman" w:cs="Times New Roman"/>
                <w:kern w:val="0"/>
                <w:sz w:val="22"/>
                <w:lang w:bidi="ar"/>
              </w:rPr>
              <w:t>居民服务、修理和其他服务业</w:t>
            </w:r>
          </w:p>
        </w:tc>
        <w:tc>
          <w:tcPr>
            <w:tcW w:w="2340" w:type="dxa"/>
            <w:tcBorders>
              <w:left w:val="nil"/>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51.27 </w:t>
            </w:r>
          </w:p>
        </w:tc>
        <w:tc>
          <w:tcPr>
            <w:tcW w:w="2250" w:type="dxa"/>
            <w:tcBorders>
              <w:left w:val="nil"/>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23.3</w:t>
            </w:r>
          </w:p>
        </w:tc>
      </w:tr>
      <w:tr>
        <w:tblPrEx>
          <w:tblCellMar>
            <w:top w:w="15" w:type="dxa"/>
            <w:left w:w="15" w:type="dxa"/>
            <w:bottom w:w="15" w:type="dxa"/>
            <w:right w:w="15" w:type="dxa"/>
          </w:tblCellMar>
        </w:tblPrEx>
        <w:trPr>
          <w:trHeight w:val="397" w:hRule="atLeast"/>
          <w:jc w:val="center"/>
        </w:trPr>
        <w:tc>
          <w:tcPr>
            <w:tcW w:w="3073" w:type="dxa"/>
            <w:tcBorders>
              <w:top w:val="nil"/>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lang w:bidi="ar"/>
              </w:rPr>
              <w:t>文化、体育和娱乐业</w:t>
            </w:r>
          </w:p>
        </w:tc>
        <w:tc>
          <w:tcPr>
            <w:tcW w:w="2340" w:type="dxa"/>
            <w:tcBorders>
              <w:top w:val="nil"/>
              <w:left w:val="nil"/>
              <w:bottom w:val="single" w:color="000000" w:sz="12" w:space="0"/>
              <w:right w:val="single" w:color="000000" w:sz="4" w:space="0"/>
            </w:tcBorders>
            <w:shd w:val="clear" w:color="auto" w:fill="FFFFFF"/>
            <w:tcMar>
              <w:top w:w="0" w:type="dxa"/>
              <w:left w:w="15" w:type="dxa"/>
              <w:bottom w:w="0" w:type="dxa"/>
              <w:right w:w="510" w:type="dxa"/>
            </w:tcMar>
            <w:vAlign w:val="bottom"/>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 xml:space="preserve">67.21 </w:t>
            </w:r>
          </w:p>
        </w:tc>
        <w:tc>
          <w:tcPr>
            <w:tcW w:w="2250" w:type="dxa"/>
            <w:tcBorders>
              <w:top w:val="nil"/>
              <w:left w:val="nil"/>
              <w:bottom w:val="single" w:color="000000" w:sz="12" w:space="0"/>
            </w:tcBorders>
            <w:shd w:val="clear" w:color="auto" w:fill="FFFFFF"/>
            <w:tcMar>
              <w:top w:w="0" w:type="dxa"/>
              <w:left w:w="15" w:type="dxa"/>
              <w:bottom w:w="0" w:type="dxa"/>
              <w:right w:w="510"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ind w:left="0" w:leftChars="0"/>
              <w:jc w:val="right"/>
              <w:textAlignment w:val="center"/>
              <w:rPr>
                <w:rFonts w:hint="default" w:ascii="Times New Roman" w:hAnsi="Times New Roman" w:eastAsia="宋体" w:cs="Times New Roman"/>
                <w:color w:val="000000"/>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33.4</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六、固定资产投资和房地产业</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仿宋_GB2312" w:cs="Times New Roman"/>
          <w:color w:val="auto"/>
          <w:sz w:val="32"/>
          <w:szCs w:val="32"/>
        </w:rPr>
        <w:t>全年固定资产投资（不含农户）</w:t>
      </w:r>
      <w:r>
        <w:rPr>
          <w:rStyle w:val="14"/>
          <w:rFonts w:hint="default" w:ascii="Times New Roman" w:hAnsi="Times New Roman" w:eastAsia="仿宋_GB2312" w:cs="Times New Roman"/>
          <w:color w:val="auto"/>
          <w:sz w:val="32"/>
          <w:szCs w:val="32"/>
        </w:rPr>
        <w:t>[</w:t>
      </w:r>
      <w:r>
        <w:rPr>
          <w:rStyle w:val="14"/>
          <w:rFonts w:hint="default" w:ascii="Times New Roman" w:hAnsi="Times New Roman" w:eastAsia="仿宋_GB2312" w:cs="Times New Roman"/>
          <w:color w:val="auto"/>
          <w:sz w:val="32"/>
          <w:szCs w:val="32"/>
        </w:rPr>
        <w:endnoteReference w:id="11"/>
      </w:r>
      <w:r>
        <w:rPr>
          <w:rStyle w:val="14"/>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比上年下降</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0.6</w:t>
      </w:r>
      <w:r>
        <w:rPr>
          <w:rFonts w:hint="default" w:ascii="Times New Roman" w:hAnsi="Times New Roman" w:eastAsia="仿宋_GB2312" w:cs="Times New Roman"/>
          <w:color w:val="auto"/>
          <w:sz w:val="32"/>
          <w:szCs w:val="32"/>
        </w:rPr>
        <w:t>%。</w:t>
      </w:r>
      <w:r>
        <w:rPr>
          <w:rFonts w:hint="default" w:ascii="Times New Roman" w:hAnsi="Times New Roman" w:eastAsia="方正仿宋简体" w:cs="Times New Roman"/>
          <w:color w:val="auto"/>
          <w:sz w:val="32"/>
          <w:szCs w:val="32"/>
        </w:rPr>
        <w:t>分三次产业看，第一产业投资下降</w:t>
      </w:r>
      <w:r>
        <w:rPr>
          <w:rFonts w:hint="default" w:ascii="Times New Roman" w:hAnsi="Times New Roman" w:eastAsia="方正仿宋简体" w:cs="Times New Roman"/>
          <w:color w:val="auto"/>
          <w:sz w:val="32"/>
          <w:szCs w:val="32"/>
          <w:lang w:eastAsia="zh-CN"/>
        </w:rPr>
        <w:t>9</w:t>
      </w:r>
      <w:r>
        <w:rPr>
          <w:rFonts w:hint="default" w:ascii="Times New Roman" w:hAnsi="Times New Roman" w:eastAsia="方正仿宋简体" w:cs="Times New Roman"/>
          <w:color w:val="auto"/>
          <w:sz w:val="32"/>
          <w:szCs w:val="32"/>
          <w:lang w:val="en-US" w:eastAsia="zh-CN"/>
        </w:rPr>
        <w:t>.9</w:t>
      </w:r>
      <w:r>
        <w:rPr>
          <w:rFonts w:hint="default" w:ascii="Times New Roman" w:hAnsi="Times New Roman" w:eastAsia="方正仿宋简体" w:cs="Times New Roman"/>
          <w:color w:val="auto"/>
          <w:sz w:val="32"/>
          <w:szCs w:val="32"/>
        </w:rPr>
        <w:t>%，第二产业投资增长</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8.9</w:t>
      </w:r>
      <w:r>
        <w:rPr>
          <w:rFonts w:hint="default" w:ascii="Times New Roman" w:hAnsi="Times New Roman" w:eastAsia="方正仿宋简体" w:cs="Times New Roman"/>
          <w:color w:val="auto"/>
          <w:sz w:val="32"/>
          <w:szCs w:val="32"/>
        </w:rPr>
        <w:t>%，第三产业投资下降</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9.9</w:t>
      </w:r>
      <w:r>
        <w:rPr>
          <w:rFonts w:hint="default" w:ascii="Times New Roman" w:hAnsi="Times New Roman" w:eastAsia="方正仿宋简体" w:cs="Times New Roman"/>
          <w:color w:val="auto"/>
          <w:sz w:val="32"/>
          <w:szCs w:val="32"/>
        </w:rPr>
        <w:t>%。</w:t>
      </w:r>
    </w:p>
    <w:p>
      <w:pPr>
        <w:pStyle w:val="3"/>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drawing>
          <wp:inline distT="0" distB="0" distL="114300" distR="114300">
            <wp:extent cx="5039995" cy="2959735"/>
            <wp:effectExtent l="0" t="0" r="8255" b="12065"/>
            <wp:docPr id="25" name="图片 25"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5"/>
                    <pic:cNvPicPr>
                      <a:picLocks noChangeAspect="1"/>
                    </pic:cNvPicPr>
                  </pic:nvPicPr>
                  <pic:blipFill>
                    <a:blip r:embed="rId11"/>
                    <a:stretch>
                      <a:fillRect/>
                    </a:stretch>
                  </pic:blipFill>
                  <pic:spPr>
                    <a:xfrm>
                      <a:off x="0" y="0"/>
                      <a:ext cx="5039995" cy="2959735"/>
                    </a:xfrm>
                    <a:prstGeom prst="rect">
                      <a:avLst/>
                    </a:prstGeom>
                  </pic:spPr>
                </pic:pic>
              </a:graphicData>
            </a:graphic>
          </wp:inline>
        </w:drawing>
      </w:r>
    </w:p>
    <w:p>
      <w:pPr>
        <w:pStyle w:val="3"/>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产业投资</w:t>
      </w:r>
      <w:r>
        <w:rPr>
          <w:rStyle w:val="14"/>
          <w:rFonts w:hint="default" w:ascii="Times New Roman" w:hAnsi="Times New Roman" w:eastAsia="方正仿宋简体" w:cs="Times New Roman"/>
          <w:color w:val="auto"/>
          <w:sz w:val="32"/>
          <w:szCs w:val="32"/>
        </w:rPr>
        <w:t>[</w:t>
      </w:r>
      <w:r>
        <w:rPr>
          <w:rStyle w:val="14"/>
          <w:rFonts w:hint="default" w:ascii="Times New Roman" w:hAnsi="Times New Roman" w:eastAsia="方正仿宋简体" w:cs="Times New Roman"/>
          <w:color w:val="auto"/>
          <w:sz w:val="32"/>
          <w:szCs w:val="32"/>
        </w:rPr>
        <w:endnoteReference w:id="12"/>
      </w:r>
      <w:r>
        <w:rPr>
          <w:rStyle w:val="14"/>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rPr>
        <w:t>比上年增长</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0.5</w:t>
      </w:r>
      <w:r>
        <w:rPr>
          <w:rFonts w:hint="default" w:ascii="Times New Roman" w:hAnsi="Times New Roman" w:eastAsia="方正仿宋简体" w:cs="Times New Roman"/>
          <w:color w:val="auto"/>
          <w:sz w:val="32"/>
          <w:szCs w:val="32"/>
        </w:rPr>
        <w:t>%，占全省固定资产投资比重</w:t>
      </w:r>
      <w:r>
        <w:rPr>
          <w:rFonts w:hint="default" w:ascii="Times New Roman" w:hAnsi="Times New Roman" w:eastAsia="方正仿宋简体" w:cs="Times New Roman"/>
          <w:color w:val="auto"/>
          <w:sz w:val="32"/>
          <w:szCs w:val="32"/>
          <w:lang w:eastAsia="zh-CN"/>
        </w:rPr>
        <w:t>5</w:t>
      </w:r>
      <w:r>
        <w:rPr>
          <w:rFonts w:hint="default" w:ascii="Times New Roman" w:hAnsi="Times New Roman" w:eastAsia="方正仿宋简体" w:cs="Times New Roman"/>
          <w:color w:val="auto"/>
          <w:sz w:val="32"/>
          <w:szCs w:val="32"/>
          <w:lang w:val="en-US" w:eastAsia="zh-CN"/>
        </w:rPr>
        <w:t>0.4</w:t>
      </w:r>
      <w:r>
        <w:rPr>
          <w:rFonts w:hint="default" w:ascii="Times New Roman" w:hAnsi="Times New Roman" w:eastAsia="方正仿宋简体" w:cs="Times New Roman"/>
          <w:color w:val="auto"/>
          <w:sz w:val="32"/>
          <w:szCs w:val="32"/>
        </w:rPr>
        <w:t>%。工业投资增长</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9.1</w:t>
      </w:r>
      <w:r>
        <w:rPr>
          <w:rFonts w:hint="default" w:ascii="Times New Roman" w:hAnsi="Times New Roman" w:eastAsia="方正仿宋简体" w:cs="Times New Roman"/>
          <w:color w:val="auto"/>
          <w:sz w:val="32"/>
          <w:szCs w:val="32"/>
        </w:rPr>
        <w:t>%，占比</w:t>
      </w:r>
      <w:r>
        <w:rPr>
          <w:rFonts w:hint="default" w:ascii="Times New Roman" w:hAnsi="Times New Roman" w:eastAsia="方正仿宋简体" w:cs="Times New Roman"/>
          <w:color w:val="auto"/>
          <w:sz w:val="32"/>
          <w:szCs w:val="32"/>
          <w:lang w:eastAsia="zh-CN"/>
        </w:rPr>
        <w:t>2</w:t>
      </w:r>
      <w:r>
        <w:rPr>
          <w:rFonts w:hint="default" w:ascii="Times New Roman" w:hAnsi="Times New Roman" w:eastAsia="方正仿宋简体" w:cs="Times New Roman"/>
          <w:color w:val="auto"/>
          <w:sz w:val="32"/>
          <w:szCs w:val="32"/>
          <w:lang w:val="en-US" w:eastAsia="zh-CN"/>
        </w:rPr>
        <w:t>8.5</w:t>
      </w:r>
      <w:r>
        <w:rPr>
          <w:rFonts w:hint="default" w:ascii="Times New Roman" w:hAnsi="Times New Roman" w:eastAsia="方正仿宋简体" w:cs="Times New Roman"/>
          <w:color w:val="auto"/>
          <w:sz w:val="32"/>
          <w:szCs w:val="32"/>
        </w:rPr>
        <w:t>%。基础设施投资下降</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1.4</w:t>
      </w:r>
      <w:r>
        <w:rPr>
          <w:rFonts w:hint="default" w:ascii="Times New Roman" w:hAnsi="Times New Roman" w:eastAsia="方正仿宋简体" w:cs="Times New Roman"/>
          <w:color w:val="auto"/>
          <w:sz w:val="32"/>
          <w:szCs w:val="32"/>
        </w:rPr>
        <w:t>%，占比</w:t>
      </w:r>
      <w:r>
        <w:rPr>
          <w:rFonts w:hint="default" w:ascii="Times New Roman" w:hAnsi="Times New Roman" w:eastAsia="方正仿宋简体" w:cs="Times New Roman"/>
          <w:color w:val="auto"/>
          <w:sz w:val="32"/>
          <w:szCs w:val="32"/>
          <w:lang w:eastAsia="zh-CN"/>
        </w:rPr>
        <w:t>4</w:t>
      </w:r>
      <w:r>
        <w:rPr>
          <w:rFonts w:hint="default" w:ascii="Times New Roman" w:hAnsi="Times New Roman" w:eastAsia="方正仿宋简体" w:cs="Times New Roman"/>
          <w:color w:val="auto"/>
          <w:sz w:val="32"/>
          <w:szCs w:val="32"/>
          <w:lang w:val="en-US" w:eastAsia="zh-CN"/>
        </w:rPr>
        <w:t>0.8</w:t>
      </w:r>
      <w:r>
        <w:rPr>
          <w:rFonts w:hint="default" w:ascii="Times New Roman" w:hAnsi="Times New Roman" w:eastAsia="方正仿宋简体" w:cs="Times New Roman"/>
          <w:color w:val="auto"/>
          <w:sz w:val="32"/>
          <w:szCs w:val="32"/>
        </w:rPr>
        <w:t>%。民间投资下降</w:t>
      </w:r>
      <w:r>
        <w:rPr>
          <w:rFonts w:hint="default" w:ascii="Times New Roman" w:hAnsi="Times New Roman" w:eastAsia="方正仿宋简体" w:cs="Times New Roman"/>
          <w:color w:val="auto"/>
          <w:sz w:val="32"/>
          <w:szCs w:val="32"/>
          <w:lang w:eastAsia="zh-CN"/>
        </w:rPr>
        <w:t>7</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%，占比</w:t>
      </w:r>
      <w:r>
        <w:rPr>
          <w:rFonts w:hint="default" w:ascii="Times New Roman" w:hAnsi="Times New Roman" w:eastAsia="方正仿宋简体" w:cs="Times New Roman"/>
          <w:color w:val="auto"/>
          <w:sz w:val="32"/>
          <w:szCs w:val="32"/>
          <w:lang w:eastAsia="zh-CN"/>
        </w:rPr>
        <w:t>4</w:t>
      </w:r>
      <w:r>
        <w:rPr>
          <w:rFonts w:hint="default" w:ascii="Times New Roman" w:hAnsi="Times New Roman" w:eastAsia="方正仿宋简体" w:cs="Times New Roman"/>
          <w:color w:val="auto"/>
          <w:sz w:val="32"/>
          <w:szCs w:val="32"/>
          <w:lang w:val="en-US" w:eastAsia="zh-CN"/>
        </w:rPr>
        <w:t>5.2</w:t>
      </w:r>
      <w:r>
        <w:rPr>
          <w:rFonts w:hint="default" w:ascii="Times New Roman" w:hAnsi="Times New Roman" w:eastAsia="方正仿宋简体" w:cs="Times New Roman"/>
          <w:color w:val="auto"/>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rPr>
          <w:rFonts w:hint="default" w:ascii="Times New Roman" w:hAnsi="Times New Roman" w:eastAsia="方正黑体简体" w:cs="Times New Roman"/>
          <w:color w:val="auto"/>
          <w:sz w:val="28"/>
          <w:szCs w:val="28"/>
        </w:rPr>
      </w:pPr>
      <w:r>
        <w:rPr>
          <w:rFonts w:hint="default" w:ascii="Times New Roman" w:hAnsi="Times New Roman" w:eastAsia="方正黑体简体" w:cs="Times New Roman"/>
          <w:sz w:val="28"/>
          <w:szCs w:val="28"/>
        </w:rPr>
        <w:t xml:space="preserve">         </w:t>
      </w:r>
      <w:r>
        <w:rPr>
          <w:rFonts w:hint="default" w:ascii="Times New Roman" w:hAnsi="Times New Roman" w:eastAsia="方正黑体简体" w:cs="Times New Roman"/>
          <w:color w:val="FF0000"/>
          <w:sz w:val="28"/>
          <w:szCs w:val="28"/>
        </w:rPr>
        <w:t xml:space="preserve"> </w:t>
      </w:r>
      <w:r>
        <w:rPr>
          <w:rFonts w:hint="default" w:ascii="Times New Roman" w:hAnsi="Times New Roman" w:eastAsia="方正黑体简体" w:cs="Times New Roman"/>
          <w:color w:val="auto"/>
          <w:sz w:val="28"/>
          <w:szCs w:val="28"/>
        </w:rPr>
        <w:t xml:space="preserve"> 表</w:t>
      </w:r>
      <w:r>
        <w:rPr>
          <w:rFonts w:hint="eastAsia" w:ascii="Times New Roman" w:hAnsi="Times New Roman" w:eastAsia="方正黑体简体" w:cs="Times New Roman"/>
          <w:color w:val="auto"/>
          <w:sz w:val="28"/>
          <w:szCs w:val="28"/>
          <w:lang w:val="en-US" w:eastAsia="zh-CN"/>
        </w:rPr>
        <w:t>6</w:t>
      </w:r>
      <w:r>
        <w:rPr>
          <w:rFonts w:hint="default" w:ascii="Times New Roman" w:hAnsi="Times New Roman" w:eastAsia="方正黑体简体" w:cs="Times New Roman"/>
          <w:color w:val="auto"/>
          <w:sz w:val="28"/>
          <w:szCs w:val="28"/>
        </w:rPr>
        <w:t xml:space="preserve">  2023年云南分行业固定资产投资增长速度</w:t>
      </w:r>
    </w:p>
    <w:tbl>
      <w:tblPr>
        <w:tblStyle w:val="12"/>
        <w:tblW w:w="7803" w:type="dxa"/>
        <w:jc w:val="center"/>
        <w:tblLayout w:type="fixed"/>
        <w:tblCellMar>
          <w:top w:w="0" w:type="dxa"/>
          <w:left w:w="17" w:type="dxa"/>
          <w:bottom w:w="0" w:type="dxa"/>
          <w:right w:w="1701" w:type="dxa"/>
        </w:tblCellMar>
      </w:tblPr>
      <w:tblGrid>
        <w:gridCol w:w="4685"/>
        <w:gridCol w:w="3118"/>
      </w:tblGrid>
      <w:tr>
        <w:tblPrEx>
          <w:tblCellMar>
            <w:top w:w="0" w:type="dxa"/>
            <w:left w:w="17" w:type="dxa"/>
            <w:bottom w:w="0" w:type="dxa"/>
            <w:right w:w="1701" w:type="dxa"/>
          </w:tblCellMar>
        </w:tblPrEx>
        <w:trPr>
          <w:trHeight w:val="366" w:hRule="atLeast"/>
          <w:jc w:val="center"/>
        </w:trPr>
        <w:tc>
          <w:tcPr>
            <w:tcW w:w="4685" w:type="dxa"/>
            <w:tcBorders>
              <w:top w:val="single" w:color="000000" w:sz="12" w:space="0"/>
              <w:bottom w:val="nil"/>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行  业</w:t>
            </w:r>
          </w:p>
        </w:tc>
        <w:tc>
          <w:tcPr>
            <w:tcW w:w="3118" w:type="dxa"/>
            <w:tcBorders>
              <w:top w:val="single" w:color="000000" w:sz="12" w:space="0"/>
              <w:bottom w:val="nil"/>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firstLine="442" w:firstLineChars="200"/>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 xml:space="preserve"> 比上年增长（%） </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 xml:space="preserve">  全省</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b/>
                <w:color w:val="auto"/>
                <w:sz w:val="22"/>
                <w:lang w:val="en-US" w:eastAsia="zh-CN"/>
              </w:rPr>
            </w:pPr>
            <w:r>
              <w:rPr>
                <w:rFonts w:hint="default" w:ascii="Times New Roman" w:hAnsi="Times New Roman" w:cs="Times New Roman"/>
                <w:b/>
                <w:color w:val="auto"/>
                <w:sz w:val="22"/>
                <w:lang w:val="en-US" w:eastAsia="zh-CN"/>
              </w:rPr>
              <w:t>-10.6</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农林牧渔业 </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-7.5</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采矿业 </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9.1</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11.8</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#烟草制品业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44.9</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化学原料及化学制品制造业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-0.5</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医药制造业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3.8</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非金属矿物制品业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27.9</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黑色金属冶炼及压延加工业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-34.0</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有色金属冶炼及压延加工业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kern w:val="0"/>
                <w:sz w:val="22"/>
                <w:lang w:val="en-US" w:eastAsia="zh-CN"/>
              </w:rPr>
            </w:pPr>
            <w:r>
              <w:rPr>
                <w:rFonts w:hint="default" w:ascii="Times New Roman" w:hAnsi="Times New Roman" w:cs="Times New Roman"/>
                <w:color w:val="auto"/>
                <w:kern w:val="0"/>
                <w:sz w:val="22"/>
                <w:lang w:val="en-US" w:eastAsia="zh-CN"/>
              </w:rPr>
              <w:t>20.6</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电力、热力、燃气及水的生产和供应 </w:t>
            </w:r>
          </w:p>
        </w:tc>
        <w:tc>
          <w:tcPr>
            <w:tcW w:w="3118" w:type="dxa"/>
            <w:tcBorders>
              <w:top w:val="nil"/>
              <w:left w:val="single" w:color="auto" w:sz="4" w:space="0"/>
              <w:bottom w:val="nil"/>
              <w:right w:val="nil"/>
            </w:tcBorders>
            <w:shd w:val="clear" w:color="000000"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33.1</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建筑业 </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-31.3</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交通运输、仓储及邮政业 </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-18.9</w:t>
            </w:r>
          </w:p>
        </w:tc>
      </w:tr>
      <w:tr>
        <w:tblPrEx>
          <w:tblCellMar>
            <w:top w:w="0" w:type="dxa"/>
            <w:left w:w="17" w:type="dxa"/>
            <w:bottom w:w="0" w:type="dxa"/>
            <w:right w:w="1701" w:type="dxa"/>
          </w:tblCellMar>
        </w:tblPrEx>
        <w:trPr>
          <w:trHeight w:val="397" w:hRule="atLeast"/>
          <w:jc w:val="center"/>
        </w:trPr>
        <w:tc>
          <w:tcPr>
            <w:tcW w:w="4685" w:type="dxa"/>
            <w:tcBorders>
              <w:top w:val="nil"/>
              <w:left w:val="nil"/>
              <w:bottom w:val="nil"/>
              <w:right w:val="single" w:color="auto"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信息传输、软件和信息技术服务业 </w:t>
            </w:r>
          </w:p>
        </w:tc>
        <w:tc>
          <w:tcPr>
            <w:tcW w:w="3118" w:type="dxa"/>
            <w:tcBorders>
              <w:top w:val="nil"/>
              <w:left w:val="single" w:color="auto" w:sz="4" w:space="0"/>
              <w:bottom w:val="nil"/>
              <w:right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16.6</w:t>
            </w:r>
          </w:p>
        </w:tc>
      </w:tr>
      <w:tr>
        <w:tblPrEx>
          <w:tblCellMar>
            <w:top w:w="0" w:type="dxa"/>
            <w:left w:w="17" w:type="dxa"/>
            <w:bottom w:w="0" w:type="dxa"/>
            <w:right w:w="1701" w:type="dxa"/>
          </w:tblCellMar>
        </w:tblPrEx>
        <w:trPr>
          <w:trHeight w:val="397" w:hRule="atLeast"/>
          <w:jc w:val="center"/>
        </w:trPr>
        <w:tc>
          <w:tcPr>
            <w:tcW w:w="4685" w:type="dxa"/>
            <w:tcBorders>
              <w:top w:val="nil"/>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批发和零售业 </w:t>
            </w:r>
          </w:p>
        </w:tc>
        <w:tc>
          <w:tcPr>
            <w:tcW w:w="3118" w:type="dxa"/>
            <w:tcBorders>
              <w:top w:val="nil"/>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0.6</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住宿和餐饮业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13.6</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金融业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-4.0</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房地产开发</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-34.4</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租赁和商务服务业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3.0</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科学研究和技术服务业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36.5</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水利、环境和公共设施管理业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-24.8</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居民服务和其他服务业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14.8</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教育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-12.5</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卫生和社会工作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-19.1</w:t>
            </w:r>
          </w:p>
        </w:tc>
      </w:tr>
      <w:tr>
        <w:tblPrEx>
          <w:tblCellMar>
            <w:top w:w="0" w:type="dxa"/>
            <w:left w:w="17" w:type="dxa"/>
            <w:bottom w:w="0" w:type="dxa"/>
            <w:right w:w="1701" w:type="dxa"/>
          </w:tblCellMar>
        </w:tblPrEx>
        <w:trPr>
          <w:trHeight w:val="397" w:hRule="atLeast"/>
          <w:jc w:val="center"/>
        </w:trPr>
        <w:tc>
          <w:tcPr>
            <w:tcW w:w="4685"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文化、体育和娱乐业 </w:t>
            </w:r>
          </w:p>
        </w:tc>
        <w:tc>
          <w:tcPr>
            <w:tcW w:w="3118" w:type="dxa"/>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28.9</w:t>
            </w:r>
          </w:p>
        </w:tc>
      </w:tr>
      <w:tr>
        <w:tblPrEx>
          <w:tblCellMar>
            <w:top w:w="0" w:type="dxa"/>
            <w:left w:w="17" w:type="dxa"/>
            <w:bottom w:w="0" w:type="dxa"/>
            <w:right w:w="1701" w:type="dxa"/>
          </w:tblCellMar>
        </w:tblPrEx>
        <w:trPr>
          <w:trHeight w:val="397" w:hRule="atLeast"/>
          <w:jc w:val="center"/>
        </w:trPr>
        <w:tc>
          <w:tcPr>
            <w:tcW w:w="4685" w:type="dxa"/>
            <w:tcBorders>
              <w:bottom w:val="single" w:color="000000" w:sz="12"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left"/>
              <w:textAlignment w:val="center"/>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公共管理和社会组织 </w:t>
            </w:r>
          </w:p>
        </w:tc>
        <w:tc>
          <w:tcPr>
            <w:tcW w:w="3118" w:type="dxa"/>
            <w:tcBorders>
              <w:bottom w:val="single" w:color="000000" w:sz="12"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20" w:lineRule="exact"/>
              <w:ind w:left="0" w:leftChars="0"/>
              <w:jc w:val="right"/>
              <w:textAlignment w:val="center"/>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-72.0</w:t>
            </w:r>
          </w:p>
        </w:tc>
      </w:tr>
    </w:tbl>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全年房地产开发投资</w:t>
      </w:r>
      <w:r>
        <w:rPr>
          <w:rFonts w:hint="default" w:ascii="Times New Roman" w:hAnsi="Times New Roman" w:eastAsia="方正仿宋简体" w:cs="Times New Roman"/>
          <w:color w:val="auto"/>
          <w:sz w:val="32"/>
          <w:szCs w:val="32"/>
          <w:lang w:eastAsia="zh-CN"/>
        </w:rPr>
        <w:t>2</w:t>
      </w:r>
      <w:r>
        <w:rPr>
          <w:rFonts w:hint="default" w:ascii="Times New Roman" w:hAnsi="Times New Roman" w:eastAsia="方正仿宋简体" w:cs="Times New Roman"/>
          <w:color w:val="auto"/>
          <w:sz w:val="32"/>
          <w:szCs w:val="32"/>
          <w:lang w:val="en-US" w:eastAsia="zh-CN"/>
        </w:rPr>
        <w:t>066.55</w:t>
      </w:r>
      <w:r>
        <w:rPr>
          <w:rFonts w:hint="default" w:ascii="Times New Roman" w:hAnsi="Times New Roman" w:eastAsia="方正仿宋简体" w:cs="Times New Roman"/>
          <w:color w:val="auto"/>
          <w:sz w:val="32"/>
          <w:szCs w:val="32"/>
        </w:rPr>
        <w:t>亿元，比上年下降</w:t>
      </w:r>
      <w:r>
        <w:rPr>
          <w:rFonts w:hint="default" w:ascii="Times New Roman" w:hAnsi="Times New Roman" w:eastAsia="方正仿宋简体" w:cs="Times New Roman"/>
          <w:color w:val="auto"/>
          <w:sz w:val="32"/>
          <w:szCs w:val="32"/>
          <w:lang w:eastAsia="zh-CN"/>
        </w:rPr>
        <w:t>3</w:t>
      </w:r>
      <w:r>
        <w:rPr>
          <w:rFonts w:hint="default" w:ascii="Times New Roman" w:hAnsi="Times New Roman" w:eastAsia="方正仿宋简体" w:cs="Times New Roman"/>
          <w:color w:val="auto"/>
          <w:sz w:val="32"/>
          <w:szCs w:val="32"/>
          <w:lang w:val="en-US" w:eastAsia="zh-CN"/>
        </w:rPr>
        <w:t>4.4</w:t>
      </w:r>
      <w:r>
        <w:rPr>
          <w:rFonts w:hint="default" w:ascii="Times New Roman" w:hAnsi="Times New Roman" w:eastAsia="方正仿宋简体" w:cs="Times New Roman"/>
          <w:color w:val="auto"/>
          <w:sz w:val="32"/>
          <w:szCs w:val="32"/>
        </w:rPr>
        <w:t>%，其中，商品住宅投资</w:t>
      </w:r>
      <w:r>
        <w:rPr>
          <w:rFonts w:hint="default" w:ascii="Times New Roman" w:hAnsi="Times New Roman" w:eastAsia="方正仿宋简体" w:cs="Times New Roman"/>
          <w:color w:val="auto"/>
          <w:sz w:val="32"/>
          <w:szCs w:val="32"/>
          <w:lang w:val="en"/>
        </w:rPr>
        <w:t>1542.89</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val="en" w:eastAsia="zh-CN"/>
        </w:rPr>
        <w:t>34.9</w:t>
      </w:r>
      <w:r>
        <w:rPr>
          <w:rFonts w:hint="default" w:ascii="Times New Roman" w:hAnsi="Times New Roman" w:eastAsia="方正仿宋简体" w:cs="Times New Roman"/>
          <w:color w:val="auto"/>
          <w:sz w:val="32"/>
          <w:szCs w:val="32"/>
        </w:rPr>
        <w:t>%；办公楼投资</w:t>
      </w:r>
      <w:r>
        <w:rPr>
          <w:rFonts w:hint="default" w:ascii="Times New Roman" w:hAnsi="Times New Roman" w:eastAsia="方正仿宋简体" w:cs="Times New Roman"/>
          <w:color w:val="auto"/>
          <w:sz w:val="32"/>
          <w:szCs w:val="32"/>
          <w:lang w:val="en"/>
        </w:rPr>
        <w:t>68.65</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eastAsia="zh-CN"/>
        </w:rPr>
        <w:t>3</w:t>
      </w:r>
      <w:r>
        <w:rPr>
          <w:rFonts w:hint="eastAsia" w:ascii="Times New Roman" w:hAnsi="Times New Roman" w:eastAsia="方正仿宋简体" w:cs="Times New Roman"/>
          <w:color w:val="auto"/>
          <w:sz w:val="32"/>
          <w:szCs w:val="32"/>
          <w:lang w:val="en-US" w:eastAsia="zh-CN"/>
        </w:rPr>
        <w:t>7</w:t>
      </w:r>
      <w:r>
        <w:rPr>
          <w:rFonts w:hint="default"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US" w:eastAsia="zh-CN"/>
        </w:rPr>
        <w:t>5</w:t>
      </w:r>
      <w:r>
        <w:rPr>
          <w:rFonts w:hint="default" w:ascii="Times New Roman" w:hAnsi="Times New Roman" w:eastAsia="方正仿宋简体" w:cs="Times New Roman"/>
          <w:color w:val="auto"/>
          <w:sz w:val="32"/>
          <w:szCs w:val="32"/>
        </w:rPr>
        <w:t>%；商业营业用房投资</w:t>
      </w:r>
      <w:r>
        <w:rPr>
          <w:rFonts w:hint="default" w:ascii="Times New Roman" w:hAnsi="Times New Roman" w:eastAsia="方正仿宋简体" w:cs="Times New Roman"/>
          <w:color w:val="auto"/>
          <w:sz w:val="32"/>
          <w:szCs w:val="32"/>
          <w:lang w:val="en"/>
        </w:rPr>
        <w:t>207.80</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eastAsia="zh-CN"/>
        </w:rPr>
        <w:t>2</w:t>
      </w:r>
      <w:r>
        <w:rPr>
          <w:rFonts w:hint="default" w:ascii="Times New Roman" w:hAnsi="Times New Roman" w:eastAsia="方正仿宋简体" w:cs="Times New Roman"/>
          <w:color w:val="auto"/>
          <w:sz w:val="32"/>
          <w:szCs w:val="32"/>
          <w:lang w:val="en" w:eastAsia="zh-CN"/>
        </w:rPr>
        <w:t>9.4</w:t>
      </w:r>
      <w:r>
        <w:rPr>
          <w:rFonts w:hint="default" w:ascii="Times New Roman" w:hAnsi="Times New Roman" w:eastAsia="方正仿宋简体" w:cs="Times New Roman"/>
          <w:color w:val="auto"/>
          <w:sz w:val="32"/>
          <w:szCs w:val="32"/>
        </w:rPr>
        <w:t>%。</w:t>
      </w:r>
    </w:p>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全年商品房施工面积</w:t>
      </w:r>
      <w:r>
        <w:rPr>
          <w:rFonts w:hint="default" w:ascii="Times New Roman" w:hAnsi="Times New Roman" w:eastAsia="方正仿宋简体" w:cs="Times New Roman"/>
          <w:color w:val="auto"/>
          <w:sz w:val="32"/>
          <w:szCs w:val="32"/>
          <w:lang w:val="en-US" w:eastAsia="zh-CN"/>
        </w:rPr>
        <w:t>25039.31</w:t>
      </w:r>
      <w:r>
        <w:rPr>
          <w:rFonts w:hint="default" w:ascii="Times New Roman" w:hAnsi="Times New Roman" w:eastAsia="方正仿宋简体" w:cs="Times New Roman"/>
          <w:color w:val="auto"/>
          <w:sz w:val="32"/>
          <w:szCs w:val="32"/>
        </w:rPr>
        <w:t>万平方米，比上年下降</w:t>
      </w:r>
      <w:r>
        <w:rPr>
          <w:rFonts w:hint="default" w:ascii="Times New Roman" w:hAnsi="Times New Roman" w:eastAsia="方正仿宋简体" w:cs="Times New Roman"/>
          <w:color w:val="auto"/>
          <w:sz w:val="32"/>
          <w:szCs w:val="32"/>
          <w:lang w:eastAsia="zh-CN"/>
        </w:rPr>
        <w:t>8</w:t>
      </w:r>
      <w:r>
        <w:rPr>
          <w:rFonts w:hint="default" w:ascii="Times New Roman" w:hAnsi="Times New Roman" w:eastAsia="方正仿宋简体" w:cs="Times New Roman"/>
          <w:color w:val="auto"/>
          <w:sz w:val="32"/>
          <w:szCs w:val="32"/>
          <w:lang w:val="en-US" w:eastAsia="zh-CN"/>
        </w:rPr>
        <w:t>.6</w:t>
      </w:r>
      <w:r>
        <w:rPr>
          <w:rFonts w:hint="default" w:ascii="Times New Roman" w:hAnsi="Times New Roman" w:eastAsia="方正仿宋简体" w:cs="Times New Roman"/>
          <w:color w:val="auto"/>
          <w:sz w:val="32"/>
          <w:szCs w:val="32"/>
        </w:rPr>
        <w:t>%；商品房屋竣工面积</w:t>
      </w:r>
      <w:r>
        <w:rPr>
          <w:rFonts w:hint="default" w:ascii="Times New Roman" w:hAnsi="Times New Roman" w:eastAsia="方正仿宋简体" w:cs="Times New Roman"/>
          <w:color w:val="auto"/>
          <w:sz w:val="32"/>
          <w:szCs w:val="32"/>
          <w:lang w:val="en-US" w:eastAsia="zh-CN"/>
        </w:rPr>
        <w:t>3195.49</w:t>
      </w:r>
      <w:r>
        <w:rPr>
          <w:rFonts w:hint="default" w:ascii="Times New Roman" w:hAnsi="Times New Roman" w:eastAsia="方正仿宋简体" w:cs="Times New Roman"/>
          <w:color w:val="auto"/>
          <w:sz w:val="32"/>
          <w:szCs w:val="32"/>
        </w:rPr>
        <w:t>万平方米，增长</w:t>
      </w:r>
      <w:r>
        <w:rPr>
          <w:rFonts w:hint="default" w:ascii="Times New Roman" w:hAnsi="Times New Roman" w:eastAsia="方正仿宋简体" w:cs="Times New Roman"/>
          <w:color w:val="auto"/>
          <w:sz w:val="32"/>
          <w:szCs w:val="32"/>
          <w:lang w:eastAsia="zh-CN"/>
        </w:rPr>
        <w:t>2</w:t>
      </w:r>
      <w:r>
        <w:rPr>
          <w:rFonts w:hint="default" w:ascii="Times New Roman" w:hAnsi="Times New Roman" w:eastAsia="方正仿宋简体" w:cs="Times New Roman"/>
          <w:color w:val="auto"/>
          <w:sz w:val="32"/>
          <w:szCs w:val="32"/>
          <w:lang w:val="en-US" w:eastAsia="zh-CN"/>
        </w:rPr>
        <w:t>4.6</w:t>
      </w:r>
      <w:r>
        <w:rPr>
          <w:rFonts w:hint="default" w:ascii="Times New Roman" w:hAnsi="Times New Roman" w:eastAsia="方正仿宋简体" w:cs="Times New Roman"/>
          <w:color w:val="auto"/>
          <w:sz w:val="32"/>
          <w:szCs w:val="32"/>
        </w:rPr>
        <w:t>%；商品房销售面积</w:t>
      </w:r>
      <w:r>
        <w:rPr>
          <w:rFonts w:hint="default" w:ascii="Times New Roman" w:hAnsi="Times New Roman" w:eastAsia="方正仿宋简体" w:cs="Times New Roman"/>
          <w:color w:val="auto"/>
          <w:sz w:val="32"/>
          <w:szCs w:val="32"/>
          <w:lang w:eastAsia="zh-CN"/>
        </w:rPr>
        <w:t>2</w:t>
      </w:r>
      <w:r>
        <w:rPr>
          <w:rFonts w:hint="default" w:ascii="Times New Roman" w:hAnsi="Times New Roman" w:eastAsia="方正仿宋简体" w:cs="Times New Roman"/>
          <w:color w:val="auto"/>
          <w:sz w:val="32"/>
          <w:szCs w:val="32"/>
          <w:lang w:val="en-US" w:eastAsia="zh-CN"/>
        </w:rPr>
        <w:t>490.86</w:t>
      </w:r>
      <w:r>
        <w:rPr>
          <w:rFonts w:hint="default" w:ascii="Times New Roman" w:hAnsi="Times New Roman" w:eastAsia="方正仿宋简体" w:cs="Times New Roman"/>
          <w:color w:val="auto"/>
          <w:sz w:val="32"/>
          <w:szCs w:val="32"/>
        </w:rPr>
        <w:t>万平方米，下降</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5.2</w:t>
      </w:r>
      <w:r>
        <w:rPr>
          <w:rFonts w:hint="default" w:ascii="Times New Roman" w:hAnsi="Times New Roman" w:eastAsia="方正仿宋简体" w:cs="Times New Roman"/>
          <w:color w:val="auto"/>
          <w:sz w:val="32"/>
          <w:szCs w:val="32"/>
        </w:rPr>
        <w:t>%；商品房销售额</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702.</w:t>
      </w:r>
      <w:r>
        <w:rPr>
          <w:rFonts w:hint="default" w:ascii="Times New Roman" w:hAnsi="Times New Roman" w:eastAsia="方正仿宋简体" w:cs="Times New Roman"/>
          <w:color w:val="auto"/>
          <w:sz w:val="32"/>
          <w:szCs w:val="32"/>
          <w:lang w:val="en" w:eastAsia="zh-CN"/>
        </w:rPr>
        <w:t>19</w:t>
      </w:r>
      <w:r>
        <w:rPr>
          <w:rFonts w:hint="default" w:ascii="Times New Roman" w:hAnsi="Times New Roman" w:eastAsia="方正仿宋简体" w:cs="Times New Roman"/>
          <w:color w:val="auto"/>
          <w:sz w:val="32"/>
          <w:szCs w:val="32"/>
        </w:rPr>
        <w:t>亿元，下降</w:t>
      </w:r>
      <w:r>
        <w:rPr>
          <w:rFonts w:hint="default" w:ascii="Times New Roman" w:hAnsi="Times New Roman" w:eastAsia="方正仿宋简体" w:cs="Times New Roman"/>
          <w:color w:val="auto"/>
          <w:sz w:val="32"/>
          <w:szCs w:val="32"/>
          <w:lang w:eastAsia="zh-CN"/>
        </w:rPr>
        <w:t>1</w:t>
      </w:r>
      <w:r>
        <w:rPr>
          <w:rFonts w:hint="default" w:ascii="Times New Roman" w:hAnsi="Times New Roman" w:eastAsia="方正仿宋简体" w:cs="Times New Roman"/>
          <w:color w:val="auto"/>
          <w:sz w:val="32"/>
          <w:szCs w:val="32"/>
          <w:lang w:val="en-US" w:eastAsia="zh-CN"/>
        </w:rPr>
        <w:t>4.9</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560" w:firstLineChars="200"/>
        <w:jc w:val="center"/>
        <w:rPr>
          <w:rFonts w:hint="default" w:ascii="Times New Roman" w:hAnsi="Times New Roman" w:eastAsia="方正黑体简体" w:cs="Times New Roman"/>
          <w:bCs/>
          <w:color w:val="auto"/>
          <w:kern w:val="0"/>
          <w:sz w:val="28"/>
          <w:szCs w:val="28"/>
        </w:rPr>
      </w:pPr>
      <w:r>
        <w:rPr>
          <w:rFonts w:hint="default" w:ascii="Times New Roman" w:hAnsi="Times New Roman" w:eastAsia="方正黑体简体" w:cs="Times New Roman"/>
          <w:bCs/>
          <w:color w:val="auto"/>
          <w:kern w:val="0"/>
          <w:sz w:val="28"/>
          <w:szCs w:val="28"/>
        </w:rPr>
        <w:t>表</w:t>
      </w:r>
      <w:r>
        <w:rPr>
          <w:rFonts w:hint="eastAsia" w:ascii="Times New Roman" w:hAnsi="Times New Roman" w:eastAsia="方正黑体简体" w:cs="Times New Roman"/>
          <w:bCs/>
          <w:color w:val="auto"/>
          <w:kern w:val="0"/>
          <w:sz w:val="28"/>
          <w:szCs w:val="28"/>
          <w:lang w:val="en-US" w:eastAsia="zh-CN"/>
        </w:rPr>
        <w:t>7</w:t>
      </w:r>
      <w:r>
        <w:rPr>
          <w:rFonts w:hint="default" w:ascii="Times New Roman" w:hAnsi="Times New Roman" w:eastAsia="方正黑体简体" w:cs="Times New Roman"/>
          <w:bCs/>
          <w:color w:val="auto"/>
          <w:kern w:val="0"/>
          <w:sz w:val="28"/>
          <w:szCs w:val="28"/>
        </w:rPr>
        <w:t xml:space="preserve">  202</w:t>
      </w:r>
      <w:r>
        <w:rPr>
          <w:rFonts w:hint="eastAsia" w:ascii="Times New Roman" w:hAnsi="Times New Roman" w:eastAsia="方正黑体简体" w:cs="Times New Roman"/>
          <w:bCs/>
          <w:color w:val="auto"/>
          <w:kern w:val="0"/>
          <w:sz w:val="28"/>
          <w:szCs w:val="28"/>
          <w:lang w:val="en-US" w:eastAsia="zh-CN"/>
        </w:rPr>
        <w:t>3</w:t>
      </w:r>
      <w:r>
        <w:rPr>
          <w:rFonts w:hint="default" w:ascii="Times New Roman" w:hAnsi="Times New Roman" w:eastAsia="方正黑体简体" w:cs="Times New Roman"/>
          <w:bCs/>
          <w:color w:val="auto"/>
          <w:kern w:val="0"/>
          <w:sz w:val="28"/>
          <w:szCs w:val="28"/>
        </w:rPr>
        <w:t>年云南房地产业发展主要指标情况</w:t>
      </w:r>
    </w:p>
    <w:tbl>
      <w:tblPr>
        <w:tblStyle w:val="12"/>
        <w:tblW w:w="8540" w:type="dxa"/>
        <w:jc w:val="right"/>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7" w:type="dxa"/>
          <w:bottom w:w="0" w:type="dxa"/>
          <w:right w:w="74" w:type="dxa"/>
        </w:tblCellMar>
      </w:tblPr>
      <w:tblGrid>
        <w:gridCol w:w="3427"/>
        <w:gridCol w:w="1338"/>
        <w:gridCol w:w="1819"/>
        <w:gridCol w:w="195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463" w:hRule="atLeast"/>
          <w:tblHeader/>
          <w:jc w:val="right"/>
        </w:trPr>
        <w:tc>
          <w:tcPr>
            <w:tcW w:w="3427" w:type="dxa"/>
            <w:tcBorders>
              <w:bottom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指  标</w:t>
            </w:r>
          </w:p>
        </w:tc>
        <w:tc>
          <w:tcPr>
            <w:tcW w:w="1338" w:type="dxa"/>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单  位</w:t>
            </w:r>
          </w:p>
        </w:tc>
        <w:tc>
          <w:tcPr>
            <w:tcW w:w="1819" w:type="dxa"/>
            <w:tcBorders>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绝对数</w:t>
            </w:r>
          </w:p>
        </w:tc>
        <w:tc>
          <w:tcPr>
            <w:tcW w:w="1956" w:type="dxa"/>
            <w:tcBorders>
              <w:left w:val="single" w:color="auto" w:sz="8" w:space="0"/>
              <w:bottom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center"/>
              <w:rPr>
                <w:rFonts w:hint="default" w:ascii="Times New Roman" w:hAnsi="Times New Roman" w:cs="Times New Roman"/>
                <w:b/>
                <w:bCs/>
                <w:color w:val="auto"/>
                <w:sz w:val="22"/>
              </w:rPr>
            </w:pPr>
            <w:r>
              <w:rPr>
                <w:rFonts w:hint="default" w:ascii="Times New Roman" w:hAnsi="Times New Roman" w:cs="Times New Roman"/>
                <w:b/>
                <w:bCs/>
                <w:color w:val="auto"/>
                <w:kern w:val="0"/>
                <w:sz w:val="22"/>
              </w:rPr>
              <w:t>比上年增长（%）</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top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房地产开发投资额</w:t>
            </w:r>
          </w:p>
        </w:tc>
        <w:tc>
          <w:tcPr>
            <w:tcW w:w="1338" w:type="dxa"/>
            <w:tcBorders>
              <w:top w:val="single" w:color="auto" w:sz="8" w:space="0"/>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top w:val="single" w:color="auto" w:sz="8" w:space="0"/>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2066.55</w:t>
            </w:r>
          </w:p>
        </w:tc>
        <w:tc>
          <w:tcPr>
            <w:tcW w:w="1956" w:type="dxa"/>
            <w:tcBorders>
              <w:top w:val="single" w:color="auto" w:sz="8" w:space="0"/>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-34.4</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1542.89</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-34.9</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其中：90平方米以下住宅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281.42</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-35.7</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房屋施工面积</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bookmarkStart w:id="0" w:name="_GoBack"/>
            <w:bookmarkEnd w:id="0"/>
            <w:r>
              <w:rPr>
                <w:rFonts w:hint="default" w:ascii="Times New Roman" w:hAnsi="Times New Roman" w:cs="Times New Roman"/>
                <w:color w:val="auto"/>
                <w:sz w:val="22"/>
                <w:lang w:val="en-US" w:eastAsia="zh-CN"/>
              </w:rPr>
              <w:t>25039.31</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-8.6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ind w:left="0" w:leftChars="0"/>
              <w:jc w:val="right"/>
              <w:textAlignment w:val="center"/>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16805.83</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-9.2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房屋新开工面积</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2154.85</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-26.3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1516.23</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-27.0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房屋竣工面积</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3195.49</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24.6</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2352.18</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33.8</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商品房销售面积</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2490.86</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eastAsia="宋体" w:cs="Times New Roman"/>
                <w:color w:val="auto"/>
                <w:sz w:val="22"/>
                <w:lang w:val="en-US" w:eastAsia="zh-CN"/>
              </w:rPr>
            </w:pPr>
            <w:r>
              <w:rPr>
                <w:rFonts w:hint="default" w:ascii="Times New Roman" w:hAnsi="Times New Roman" w:cs="Times New Roman"/>
                <w:color w:val="auto"/>
                <w:sz w:val="22"/>
                <w:lang w:val="en-US" w:eastAsia="zh-CN"/>
              </w:rPr>
              <w:t>-15.2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其中：住宅</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万平方米</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2100.16</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-15.0</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本年资金来源</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1890.44</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-20.2</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其中：国内贷款</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98.91</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-29.3</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7" w:type="dxa"/>
            <w:bottom w:w="0" w:type="dxa"/>
            <w:right w:w="74" w:type="dxa"/>
          </w:tblCellMar>
        </w:tblPrEx>
        <w:trPr>
          <w:trHeight w:val="397" w:hRule="atLeast"/>
          <w:jc w:val="right"/>
        </w:trPr>
        <w:tc>
          <w:tcPr>
            <w:tcW w:w="3427" w:type="dxa"/>
            <w:tcBorders>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 xml:space="preserve">          个人按揭贷款</w:t>
            </w:r>
          </w:p>
        </w:tc>
        <w:tc>
          <w:tcPr>
            <w:tcW w:w="1338" w:type="dxa"/>
            <w:tcBorders>
              <w:left w:val="single" w:color="auto" w:sz="8" w:space="0"/>
              <w:right w:val="single" w:color="auto" w:sz="8"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textAlignment w:val="top"/>
              <w:rPr>
                <w:rFonts w:hint="default" w:ascii="Times New Roman" w:hAnsi="Times New Roman" w:cs="Times New Roman"/>
                <w:color w:val="auto"/>
                <w:sz w:val="22"/>
              </w:rPr>
            </w:pPr>
            <w:r>
              <w:rPr>
                <w:rFonts w:hint="default" w:ascii="Times New Roman" w:hAnsi="Times New Roman" w:cs="Times New Roman"/>
                <w:color w:val="auto"/>
                <w:kern w:val="0"/>
                <w:sz w:val="22"/>
              </w:rPr>
              <w:t>亿元</w:t>
            </w:r>
          </w:p>
        </w:tc>
        <w:tc>
          <w:tcPr>
            <w:tcW w:w="1819" w:type="dxa"/>
            <w:tcBorders>
              <w:left w:val="single" w:color="auto" w:sz="8" w:space="0"/>
              <w:right w:val="single" w:color="auto" w:sz="8" w:space="0"/>
            </w:tcBorders>
            <w:shd w:val="clear" w:color="auto" w:fill="FFFFFF"/>
            <w:tcMar>
              <w:top w:w="17" w:type="dxa"/>
              <w:left w:w="17" w:type="dxa"/>
              <w:bottom w:w="17" w:type="dxa"/>
              <w:right w:w="567"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489.49</w:t>
            </w:r>
          </w:p>
        </w:tc>
        <w:tc>
          <w:tcPr>
            <w:tcW w:w="1956" w:type="dxa"/>
            <w:tcBorders>
              <w:left w:val="single" w:color="auto" w:sz="8" w:space="0"/>
            </w:tcBorders>
            <w:tcMar>
              <w:top w:w="17" w:type="dxa"/>
              <w:left w:w="17" w:type="dxa"/>
              <w:bottom w:w="17" w:type="dxa"/>
              <w:right w:w="624"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rPr>
            </w:pPr>
            <w:r>
              <w:rPr>
                <w:rFonts w:hint="default" w:ascii="Times New Roman" w:hAnsi="Times New Roman" w:cs="Times New Roman"/>
                <w:color w:val="auto"/>
                <w:sz w:val="22"/>
                <w:lang w:val="en-US" w:eastAsia="zh-CN"/>
              </w:rPr>
              <w:t>-18.4</w:t>
            </w:r>
          </w:p>
        </w:tc>
      </w:tr>
    </w:tbl>
    <w:p>
      <w:pPr>
        <w:keepNext w:val="0"/>
        <w:keepLines w:val="0"/>
        <w:pageBreakBefore w:val="0"/>
        <w:widowControl w:val="0"/>
        <w:shd w:val="clear" w:color="auto" w:fill="FFFFFF"/>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七、国内贸易和对外经济</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16" w:firstLineChars="200"/>
        <w:textAlignment w:val="auto"/>
        <w:rPr>
          <w:rFonts w:hint="eastAsia" w:ascii="Times New Roman" w:hAnsi="Times New Roman" w:eastAsia="方正仿宋简体" w:cs="Times New Roman"/>
          <w:spacing w:val="-6"/>
          <w:sz w:val="32"/>
          <w:szCs w:val="32"/>
          <w:lang w:eastAsia="zh-CN"/>
        </w:rPr>
      </w:pPr>
      <w:r>
        <w:rPr>
          <w:rFonts w:hint="default" w:ascii="Times New Roman" w:hAnsi="Times New Roman" w:eastAsia="方正仿宋简体" w:cs="Times New Roman"/>
          <w:spacing w:val="-6"/>
          <w:sz w:val="32"/>
          <w:szCs w:val="32"/>
        </w:rPr>
        <w:t>全年社会消费品零售总额</w:t>
      </w:r>
      <w:r>
        <w:rPr>
          <w:rFonts w:hint="default" w:ascii="Times New Roman" w:hAnsi="Times New Roman" w:eastAsia="方正仿宋简体" w:cs="Times New Roman"/>
          <w:sz w:val="32"/>
          <w:szCs w:val="32"/>
          <w:lang w:val="en-US" w:eastAsia="zh-CN"/>
        </w:rPr>
        <w:t>11560.68</w:t>
      </w:r>
      <w:r>
        <w:rPr>
          <w:rFonts w:hint="default" w:ascii="Times New Roman" w:hAnsi="Times New Roman" w:eastAsia="方正仿宋简体" w:cs="Times New Roman"/>
          <w:spacing w:val="-6"/>
          <w:sz w:val="32"/>
          <w:szCs w:val="32"/>
        </w:rPr>
        <w:t>亿元，比上年增长</w:t>
      </w:r>
      <w:r>
        <w:rPr>
          <w:rFonts w:hint="default" w:ascii="Times New Roman" w:hAnsi="Times New Roman" w:eastAsia="方正仿宋简体" w:cs="Times New Roman"/>
          <w:sz w:val="32"/>
          <w:szCs w:val="32"/>
          <w:lang w:val="en-US" w:eastAsia="zh-CN"/>
        </w:rPr>
        <w:t>6.7</w:t>
      </w:r>
      <w:r>
        <w:rPr>
          <w:rFonts w:hint="default" w:ascii="Times New Roman" w:hAnsi="Times New Roman" w:eastAsia="方正仿宋简体" w:cs="Times New Roman"/>
          <w:spacing w:val="-6"/>
          <w:sz w:val="32"/>
          <w:szCs w:val="32"/>
        </w:rPr>
        <w:t>%。分经营地看，城镇消费品零售额</w:t>
      </w:r>
      <w:r>
        <w:rPr>
          <w:rFonts w:hint="default" w:ascii="Times New Roman" w:hAnsi="Times New Roman" w:eastAsia="方正仿宋简体" w:cs="Times New Roman"/>
          <w:sz w:val="32"/>
          <w:szCs w:val="32"/>
        </w:rPr>
        <w:t>10053.19</w:t>
      </w:r>
      <w:r>
        <w:rPr>
          <w:rFonts w:hint="default" w:ascii="Times New Roman" w:hAnsi="Times New Roman" w:eastAsia="方正仿宋简体" w:cs="Times New Roman"/>
          <w:spacing w:val="-6"/>
          <w:sz w:val="32"/>
          <w:szCs w:val="32"/>
        </w:rPr>
        <w:t>亿元，增长</w:t>
      </w:r>
      <w:r>
        <w:rPr>
          <w:rFonts w:hint="default" w:ascii="Times New Roman" w:hAnsi="Times New Roman" w:eastAsia="方正仿宋简体" w:cs="Times New Roman"/>
          <w:sz w:val="32"/>
          <w:szCs w:val="32"/>
        </w:rPr>
        <w:t>6.6</w:t>
      </w:r>
      <w:r>
        <w:rPr>
          <w:rFonts w:hint="default" w:ascii="Times New Roman" w:hAnsi="Times New Roman" w:eastAsia="方正仿宋简体" w:cs="Times New Roman"/>
          <w:spacing w:val="-6"/>
          <w:sz w:val="32"/>
          <w:szCs w:val="32"/>
        </w:rPr>
        <w:t>%；乡村消费品零售额</w:t>
      </w:r>
      <w:r>
        <w:rPr>
          <w:rFonts w:hint="default" w:ascii="Times New Roman" w:hAnsi="Times New Roman" w:eastAsia="方正仿宋简体" w:cs="Times New Roman"/>
          <w:sz w:val="32"/>
          <w:szCs w:val="32"/>
        </w:rPr>
        <w:t>1507.49</w:t>
      </w:r>
      <w:r>
        <w:rPr>
          <w:rFonts w:hint="default" w:ascii="Times New Roman" w:hAnsi="Times New Roman" w:eastAsia="方正仿宋简体" w:cs="Times New Roman"/>
          <w:spacing w:val="-6"/>
          <w:sz w:val="32"/>
          <w:szCs w:val="32"/>
        </w:rPr>
        <w:t>亿元，增长</w:t>
      </w:r>
      <w:r>
        <w:rPr>
          <w:rFonts w:hint="default" w:ascii="Times New Roman" w:hAnsi="Times New Roman" w:eastAsia="方正仿宋简体" w:cs="Times New Roman"/>
          <w:sz w:val="32"/>
          <w:szCs w:val="32"/>
        </w:rPr>
        <w:t>7.4</w:t>
      </w:r>
      <w:r>
        <w:rPr>
          <w:rFonts w:hint="default" w:ascii="Times New Roman" w:hAnsi="Times New Roman" w:eastAsia="方正仿宋简体" w:cs="Times New Roman"/>
          <w:spacing w:val="-6"/>
          <w:sz w:val="32"/>
          <w:szCs w:val="32"/>
        </w:rPr>
        <w:t>%。分消费形态看，商品零售9752.96亿元，增长4.6%；餐饮收入1807.72亿元，增长19.2%</w:t>
      </w:r>
      <w:r>
        <w:rPr>
          <w:rFonts w:hint="eastAsia" w:ascii="Times New Roman" w:hAnsi="Times New Roman" w:eastAsia="方正仿宋简体" w:cs="Times New Roman"/>
          <w:spacing w:val="-6"/>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drawing>
          <wp:inline distT="0" distB="0" distL="114300" distR="114300">
            <wp:extent cx="5039995" cy="2849880"/>
            <wp:effectExtent l="0" t="0" r="8255" b="7620"/>
            <wp:docPr id="8" name="图片 8"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6"/>
                    <pic:cNvPicPr>
                      <a:picLocks noChangeAspect="1"/>
                    </pic:cNvPicPr>
                  </pic:nvPicPr>
                  <pic:blipFill>
                    <a:blip r:embed="rId12"/>
                    <a:stretch>
                      <a:fillRect/>
                    </a:stretch>
                  </pic:blipFill>
                  <pic:spPr>
                    <a:xfrm>
                      <a:off x="0" y="0"/>
                      <a:ext cx="5039995" cy="2849880"/>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限额以上批发和零售业</w:t>
      </w:r>
      <w:r>
        <w:rPr>
          <w:rStyle w:val="14"/>
          <w:rFonts w:hint="default" w:ascii="Times New Roman" w:hAnsi="Times New Roman" w:eastAsia="方正仿宋简体" w:cs="Times New Roman"/>
          <w:sz w:val="32"/>
          <w:szCs w:val="32"/>
        </w:rPr>
        <w:t>[</w:t>
      </w:r>
      <w:r>
        <w:rPr>
          <w:rStyle w:val="14"/>
          <w:rFonts w:hint="default" w:ascii="Times New Roman" w:hAnsi="Times New Roman" w:eastAsia="方正仿宋简体" w:cs="Times New Roman"/>
          <w:sz w:val="32"/>
          <w:szCs w:val="32"/>
        </w:rPr>
        <w:endnoteReference w:id="13"/>
      </w:r>
      <w:r>
        <w:rPr>
          <w:rStyle w:val="14"/>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rPr>
        <w:t>商品零售额中，粮油、食品类零售额比上年增长3.7%，饮料类增长7.3%，烟酒类增长4.2%，服装、鞋帽、针纺织品类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2.4%，化妆品类增长21.5%，金银珠宝类增长9.2%，日用品类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0.7%，家用电器和音像器材类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21.2%，中西药品类</w:t>
      </w:r>
      <w:r>
        <w:rPr>
          <w:rFonts w:hint="eastAsia"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rPr>
        <w:t>4.3%，文化办公用品类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0.5%，家具类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9.4%，通讯器材类增长12.1%，石油及制品类增长4.3%，建筑及装潢材料类</w:t>
      </w:r>
      <w:r>
        <w:rPr>
          <w:rFonts w:hint="default" w:ascii="Times New Roman" w:hAnsi="Times New Roman" w:eastAsia="方正仿宋简体" w:cs="Times New Roman"/>
          <w:sz w:val="32"/>
          <w:szCs w:val="32"/>
          <w:lang w:val="en-US" w:eastAsia="zh-CN"/>
        </w:rPr>
        <w:t>下降</w:t>
      </w:r>
      <w:r>
        <w:rPr>
          <w:rFonts w:hint="default" w:ascii="Times New Roman" w:hAnsi="Times New Roman" w:eastAsia="方正仿宋简体" w:cs="Times New Roman"/>
          <w:sz w:val="32"/>
          <w:szCs w:val="32"/>
        </w:rPr>
        <w:t>14.7%，汽车类增长0.3%。</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全年限额以上单位通过公共网络实现的商品零售额156.98亿元，比上年增长34.2%。</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全年外贸进出口总额</w:t>
      </w:r>
      <w:r>
        <w:rPr>
          <w:rFonts w:hint="default" w:ascii="Times New Roman" w:hAnsi="Times New Roman" w:eastAsia="方正仿宋简体" w:cs="Times New Roman"/>
          <w:sz w:val="32"/>
          <w:szCs w:val="32"/>
          <w:lang w:val="en-US" w:eastAsia="zh-CN"/>
        </w:rPr>
        <w:t>367.75</w:t>
      </w:r>
      <w:r>
        <w:rPr>
          <w:rFonts w:hint="default" w:ascii="Times New Roman" w:hAnsi="Times New Roman" w:eastAsia="方正仿宋简体" w:cs="Times New Roman"/>
          <w:sz w:val="32"/>
          <w:szCs w:val="32"/>
        </w:rPr>
        <w:t>亿美元，比上年</w:t>
      </w:r>
      <w:r>
        <w:rPr>
          <w:rFonts w:hint="default" w:ascii="Times New Roman" w:hAnsi="Times New Roman" w:eastAsia="方正仿宋简体" w:cs="Times New Roman"/>
          <w:sz w:val="32"/>
          <w:szCs w:val="32"/>
          <w:lang w:val="en-US" w:eastAsia="zh-CN"/>
        </w:rPr>
        <w:t>下降22.1</w:t>
      </w:r>
      <w:r>
        <w:rPr>
          <w:rFonts w:hint="default" w:ascii="Times New Roman" w:hAnsi="Times New Roman" w:eastAsia="方正仿宋简体" w:cs="Times New Roman"/>
          <w:sz w:val="32"/>
          <w:szCs w:val="32"/>
        </w:rPr>
        <w:t>%。其中，出口总额</w:t>
      </w:r>
      <w:r>
        <w:rPr>
          <w:rFonts w:hint="default" w:ascii="Times New Roman" w:hAnsi="Times New Roman" w:eastAsia="方正仿宋简体" w:cs="Times New Roman"/>
          <w:sz w:val="32"/>
          <w:szCs w:val="32"/>
          <w:lang w:val="en-US" w:eastAsia="zh-CN"/>
        </w:rPr>
        <w:t>131.48</w:t>
      </w:r>
      <w:r>
        <w:rPr>
          <w:rFonts w:hint="default" w:ascii="Times New Roman" w:hAnsi="Times New Roman" w:eastAsia="方正仿宋简体" w:cs="Times New Roman"/>
          <w:sz w:val="32"/>
          <w:szCs w:val="32"/>
        </w:rPr>
        <w:t>亿美元，</w:t>
      </w:r>
      <w:r>
        <w:rPr>
          <w:rFonts w:hint="default" w:ascii="Times New Roman" w:hAnsi="Times New Roman" w:eastAsia="方正仿宋简体" w:cs="Times New Roman"/>
          <w:sz w:val="32"/>
          <w:szCs w:val="32"/>
          <w:lang w:val="en-US" w:eastAsia="zh-CN"/>
        </w:rPr>
        <w:t>下降39.6</w:t>
      </w:r>
      <w:r>
        <w:rPr>
          <w:rFonts w:hint="default" w:ascii="Times New Roman" w:hAnsi="Times New Roman" w:eastAsia="方正仿宋简体" w:cs="Times New Roman"/>
          <w:sz w:val="32"/>
          <w:szCs w:val="32"/>
        </w:rPr>
        <w:t>%；进口总额</w:t>
      </w:r>
      <w:r>
        <w:rPr>
          <w:rFonts w:hint="default" w:ascii="Times New Roman" w:hAnsi="Times New Roman" w:eastAsia="方正仿宋简体" w:cs="Times New Roman"/>
          <w:sz w:val="32"/>
          <w:szCs w:val="32"/>
          <w:lang w:val="en-US" w:eastAsia="zh-CN"/>
        </w:rPr>
        <w:t>236.26</w:t>
      </w:r>
      <w:r>
        <w:rPr>
          <w:rFonts w:hint="default" w:ascii="Times New Roman" w:hAnsi="Times New Roman" w:eastAsia="方正仿宋简体" w:cs="Times New Roman"/>
          <w:sz w:val="32"/>
          <w:szCs w:val="32"/>
        </w:rPr>
        <w:t>亿美元，</w:t>
      </w:r>
      <w:r>
        <w:rPr>
          <w:rFonts w:hint="default" w:ascii="Times New Roman" w:hAnsi="Times New Roman" w:eastAsia="方正仿宋简体" w:cs="Times New Roman"/>
          <w:sz w:val="32"/>
          <w:szCs w:val="32"/>
          <w:lang w:val="en-US" w:eastAsia="zh-CN"/>
        </w:rPr>
        <w:t>下降7.2</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drawing>
          <wp:inline distT="0" distB="0" distL="114300" distR="114300">
            <wp:extent cx="5296535" cy="2820035"/>
            <wp:effectExtent l="0" t="0" r="18415" b="18415"/>
            <wp:docPr id="9" name="图片 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1"/>
                    </pic:cNvPicPr>
                  </pic:nvPicPr>
                  <pic:blipFill>
                    <a:blip r:embed="rId13"/>
                    <a:stretch>
                      <a:fillRect/>
                    </a:stretch>
                  </pic:blipFill>
                  <pic:spPr>
                    <a:xfrm>
                      <a:off x="0" y="0"/>
                      <a:ext cx="5296535" cy="282003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全年新设外资企业</w:t>
      </w:r>
      <w:r>
        <w:rPr>
          <w:rFonts w:hint="default" w:ascii="Times New Roman" w:hAnsi="Times New Roman" w:eastAsia="方正仿宋简体" w:cs="Times New Roman"/>
          <w:sz w:val="32"/>
          <w:szCs w:val="32"/>
          <w:lang w:val="en-US" w:eastAsia="zh-CN"/>
        </w:rPr>
        <w:t>745</w:t>
      </w:r>
      <w:r>
        <w:rPr>
          <w:rFonts w:hint="default" w:ascii="Times New Roman" w:hAnsi="Times New Roman" w:eastAsia="方正仿宋简体" w:cs="Times New Roman"/>
          <w:sz w:val="32"/>
          <w:szCs w:val="32"/>
        </w:rPr>
        <w:t>家，比上年增长</w:t>
      </w:r>
      <w:r>
        <w:rPr>
          <w:rFonts w:hint="default" w:ascii="Times New Roman" w:hAnsi="Times New Roman" w:eastAsia="方正仿宋简体" w:cs="Times New Roman"/>
          <w:sz w:val="32"/>
          <w:szCs w:val="32"/>
          <w:lang w:val="en-US" w:eastAsia="zh-CN"/>
        </w:rPr>
        <w:t>117.8</w:t>
      </w:r>
      <w:r>
        <w:rPr>
          <w:rFonts w:hint="default" w:ascii="Times New Roman" w:hAnsi="Times New Roman" w:eastAsia="方正仿宋简体" w:cs="Times New Roman"/>
          <w:sz w:val="32"/>
          <w:szCs w:val="32"/>
        </w:rPr>
        <w:t>%。实际</w:t>
      </w:r>
      <w:r>
        <w:rPr>
          <w:rFonts w:hint="eastAsia" w:ascii="Times New Roman" w:hAnsi="Times New Roman" w:eastAsia="方正仿宋简体" w:cs="Times New Roman"/>
          <w:sz w:val="32"/>
          <w:szCs w:val="32"/>
          <w:lang w:eastAsia="zh-CN"/>
        </w:rPr>
        <w:t>利用</w:t>
      </w:r>
      <w:r>
        <w:rPr>
          <w:rFonts w:hint="default" w:ascii="Times New Roman" w:hAnsi="Times New Roman" w:eastAsia="方正仿宋简体" w:cs="Times New Roman"/>
          <w:sz w:val="32"/>
          <w:szCs w:val="32"/>
        </w:rPr>
        <w:t>外</w:t>
      </w:r>
      <w:r>
        <w:rPr>
          <w:rFonts w:hint="default" w:ascii="Times New Roman" w:hAnsi="Times New Roman" w:eastAsia="方正仿宋简体" w:cs="Times New Roman"/>
          <w:sz w:val="32"/>
          <w:szCs w:val="32"/>
          <w:lang w:eastAsia="zh-CN"/>
        </w:rPr>
        <w:t>商</w:t>
      </w:r>
      <w:r>
        <w:rPr>
          <w:rFonts w:hint="default" w:ascii="Times New Roman" w:hAnsi="Times New Roman" w:eastAsia="方正仿宋简体" w:cs="Times New Roman"/>
          <w:sz w:val="32"/>
          <w:szCs w:val="32"/>
        </w:rPr>
        <w:t>直接投资</w:t>
      </w:r>
      <w:r>
        <w:rPr>
          <w:rFonts w:hint="default" w:ascii="Times New Roman" w:hAnsi="Times New Roman" w:eastAsia="方正仿宋简体" w:cs="Times New Roman"/>
          <w:sz w:val="32"/>
          <w:szCs w:val="32"/>
          <w:lang w:val="en-US" w:eastAsia="zh-CN"/>
        </w:rPr>
        <w:t>8.46</w:t>
      </w:r>
      <w:r>
        <w:rPr>
          <w:rFonts w:hint="default" w:ascii="Times New Roman" w:hAnsi="Times New Roman" w:eastAsia="方正仿宋简体" w:cs="Times New Roman"/>
          <w:sz w:val="32"/>
          <w:szCs w:val="32"/>
        </w:rPr>
        <w:t>亿美元。对外非金融类直接投资</w:t>
      </w:r>
      <w:r>
        <w:rPr>
          <w:rFonts w:hint="default" w:ascii="Times New Roman" w:hAnsi="Times New Roman" w:eastAsia="方正仿宋简体" w:cs="Times New Roman"/>
          <w:sz w:val="32"/>
          <w:szCs w:val="32"/>
          <w:lang w:val="en-US" w:eastAsia="zh-CN"/>
        </w:rPr>
        <w:t>6.30</w:t>
      </w:r>
      <w:r>
        <w:rPr>
          <w:rFonts w:hint="default" w:ascii="Times New Roman" w:hAnsi="Times New Roman" w:eastAsia="方正仿宋简体" w:cs="Times New Roman"/>
          <w:sz w:val="32"/>
          <w:szCs w:val="32"/>
        </w:rPr>
        <w:t>亿美元，</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46.</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八、交通和邮电</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全年货物运输总量</w:t>
      </w:r>
      <w:r>
        <w:rPr>
          <w:rFonts w:hint="default" w:ascii="Times New Roman" w:hAnsi="Times New Roman" w:eastAsia="方正仿宋简体" w:cs="Times New Roman"/>
          <w:sz w:val="32"/>
          <w:szCs w:val="32"/>
        </w:rPr>
        <w:t>15.32</w:t>
      </w:r>
      <w:r>
        <w:rPr>
          <w:rFonts w:hint="default" w:ascii="Times New Roman" w:hAnsi="Times New Roman" w:eastAsia="方正仿宋简体" w:cs="Times New Roman"/>
          <w:color w:val="auto"/>
          <w:sz w:val="32"/>
          <w:szCs w:val="32"/>
        </w:rPr>
        <w:t>亿吨，比上年</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。货物运输周转量</w:t>
      </w:r>
      <w:r>
        <w:rPr>
          <w:rFonts w:hint="default" w:ascii="Times New Roman" w:hAnsi="Times New Roman" w:eastAsia="方正仿宋简体" w:cs="Times New Roman"/>
          <w:sz w:val="32"/>
          <w:szCs w:val="32"/>
        </w:rPr>
        <w:t>2026.75</w:t>
      </w:r>
      <w:r>
        <w:rPr>
          <w:rFonts w:hint="default" w:ascii="Times New Roman" w:hAnsi="Times New Roman" w:eastAsia="方正仿宋简体" w:cs="Times New Roman"/>
          <w:color w:val="auto"/>
          <w:sz w:val="32"/>
          <w:szCs w:val="32"/>
        </w:rPr>
        <w:t>亿吨公里，增长</w:t>
      </w:r>
      <w:r>
        <w:rPr>
          <w:rFonts w:hint="eastAsia" w:ascii="Times New Roman" w:hAnsi="Times New Roman" w:eastAsia="方正仿宋简体" w:cs="Times New Roman"/>
          <w:sz w:val="32"/>
          <w:szCs w:val="32"/>
          <w:lang w:val="en-US" w:eastAsia="zh-CN"/>
        </w:rPr>
        <w:t>4.0%</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w:t>
      </w:r>
      <w:r>
        <w:rPr>
          <w:rFonts w:hint="eastAsia" w:ascii="Times New Roman" w:hAnsi="Times New Roman" w:eastAsia="方正黑体简体" w:cs="Times New Roman"/>
          <w:bCs/>
          <w:kern w:val="0"/>
          <w:sz w:val="28"/>
          <w:szCs w:val="28"/>
          <w:lang w:val="en-US" w:eastAsia="zh-CN"/>
        </w:rPr>
        <w:t>8</w:t>
      </w:r>
      <w:r>
        <w:rPr>
          <w:rFonts w:hint="default" w:ascii="Times New Roman" w:hAnsi="Times New Roman" w:eastAsia="方正黑体简体" w:cs="Times New Roman"/>
          <w:bCs/>
          <w:kern w:val="0"/>
          <w:sz w:val="28"/>
          <w:szCs w:val="28"/>
        </w:rPr>
        <w:t xml:space="preserve">  2023年云南各种运输方式货物运输量及增长速度</w:t>
      </w:r>
    </w:p>
    <w:tbl>
      <w:tblPr>
        <w:tblStyle w:val="12"/>
        <w:tblW w:w="8163" w:type="dxa"/>
        <w:jc w:val="center"/>
        <w:tblLayout w:type="fixed"/>
        <w:tblCellMar>
          <w:top w:w="0" w:type="dxa"/>
          <w:left w:w="17" w:type="dxa"/>
          <w:bottom w:w="0" w:type="dxa"/>
          <w:right w:w="454" w:type="dxa"/>
        </w:tblCellMar>
      </w:tblPr>
      <w:tblGrid>
        <w:gridCol w:w="2475"/>
        <w:gridCol w:w="1893"/>
        <w:gridCol w:w="1905"/>
        <w:gridCol w:w="1890"/>
      </w:tblGrid>
      <w:tr>
        <w:tblPrEx>
          <w:tblCellMar>
            <w:top w:w="0" w:type="dxa"/>
            <w:left w:w="17" w:type="dxa"/>
            <w:bottom w:w="0" w:type="dxa"/>
            <w:right w:w="454" w:type="dxa"/>
          </w:tblCellMar>
        </w:tblPrEx>
        <w:trPr>
          <w:trHeight w:val="340" w:hRule="atLeast"/>
          <w:jc w:val="center"/>
        </w:trPr>
        <w:tc>
          <w:tcPr>
            <w:tcW w:w="2475"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指  标</w:t>
            </w:r>
          </w:p>
        </w:tc>
        <w:tc>
          <w:tcPr>
            <w:tcW w:w="1893"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单  位</w:t>
            </w:r>
          </w:p>
        </w:tc>
        <w:tc>
          <w:tcPr>
            <w:tcW w:w="1905"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绝对数</w:t>
            </w:r>
          </w:p>
        </w:tc>
        <w:tc>
          <w:tcPr>
            <w:tcW w:w="1890" w:type="dxa"/>
            <w:tcBorders>
              <w:top w:val="single" w:color="000000" w:sz="12" w:space="0"/>
              <w:bottom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比上年增长（%）</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货物运输总量</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15.32 </w:t>
            </w:r>
          </w:p>
        </w:tc>
        <w:tc>
          <w:tcPr>
            <w:tcW w:w="1890" w:type="dxa"/>
            <w:tcBorders>
              <w:top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1.50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0.4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13.75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-1.2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0.07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4.9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万吨</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4.50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48.7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货物运输周转量</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亿吨公里</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2026.75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4.0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铁  路</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亿吨公里</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478.90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0.4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公  路</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亿吨公里</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1538.58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5.1 </w:t>
            </w:r>
          </w:p>
        </w:tc>
      </w:tr>
      <w:tr>
        <w:tblPrEx>
          <w:tblCellMar>
            <w:top w:w="0" w:type="dxa"/>
            <w:left w:w="17" w:type="dxa"/>
            <w:bottom w:w="0" w:type="dxa"/>
            <w:right w:w="454" w:type="dxa"/>
          </w:tblCellMar>
        </w:tblPrEx>
        <w:trPr>
          <w:cantSplit/>
          <w:trHeight w:val="312" w:hRule="atLeast"/>
          <w:jc w:val="center"/>
        </w:trPr>
        <w:tc>
          <w:tcPr>
            <w:tcW w:w="2475"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水  运</w:t>
            </w:r>
          </w:p>
        </w:tc>
        <w:tc>
          <w:tcPr>
            <w:tcW w:w="1893"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亿吨公里</w:t>
            </w:r>
          </w:p>
        </w:tc>
        <w:tc>
          <w:tcPr>
            <w:tcW w:w="1905" w:type="dxa"/>
            <w:tcBorders>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8.14 </w:t>
            </w:r>
          </w:p>
        </w:tc>
        <w:tc>
          <w:tcPr>
            <w:tcW w:w="1890"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-3.0 </w:t>
            </w:r>
          </w:p>
        </w:tc>
      </w:tr>
      <w:tr>
        <w:tblPrEx>
          <w:tblCellMar>
            <w:top w:w="0" w:type="dxa"/>
            <w:left w:w="17" w:type="dxa"/>
            <w:bottom w:w="0" w:type="dxa"/>
            <w:right w:w="454" w:type="dxa"/>
          </w:tblCellMar>
        </w:tblPrEx>
        <w:trPr>
          <w:cantSplit/>
          <w:trHeight w:val="312" w:hRule="atLeast"/>
          <w:jc w:val="center"/>
        </w:trPr>
        <w:tc>
          <w:tcPr>
            <w:tcW w:w="2475" w:type="dxa"/>
            <w:tcBorders>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firstLine="220" w:firstLineChars="100"/>
              <w:jc w:val="center"/>
              <w:textAlignment w:val="center"/>
              <w:rPr>
                <w:rFonts w:hint="default" w:ascii="Times New Roman" w:hAnsi="Times New Roman" w:cs="Times New Roman"/>
                <w:sz w:val="22"/>
              </w:rPr>
            </w:pPr>
            <w:r>
              <w:rPr>
                <w:rFonts w:hint="default" w:ascii="Times New Roman" w:hAnsi="Times New Roman" w:cs="Times New Roman"/>
                <w:kern w:val="0"/>
                <w:sz w:val="22"/>
              </w:rPr>
              <w:t>民  航</w:t>
            </w:r>
          </w:p>
        </w:tc>
        <w:tc>
          <w:tcPr>
            <w:tcW w:w="1893" w:type="dxa"/>
            <w:tcBorders>
              <w:bottom w:val="single" w:color="000000" w:sz="12"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sz w:val="22"/>
              </w:rPr>
            </w:pPr>
            <w:r>
              <w:rPr>
                <w:rFonts w:hint="default" w:ascii="Times New Roman" w:hAnsi="Times New Roman" w:cs="Times New Roman"/>
                <w:kern w:val="0"/>
                <w:sz w:val="22"/>
              </w:rPr>
              <w:t>亿吨公里</w:t>
            </w:r>
          </w:p>
        </w:tc>
        <w:tc>
          <w:tcPr>
            <w:tcW w:w="1905" w:type="dxa"/>
            <w:tcBorders>
              <w:bottom w:val="single" w:color="000000" w:sz="12" w:space="0"/>
              <w:right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1.13 </w:t>
            </w:r>
          </w:p>
        </w:tc>
        <w:tc>
          <w:tcPr>
            <w:tcW w:w="1890" w:type="dxa"/>
            <w:tcBorders>
              <w:bottom w:val="single" w:color="000000" w:sz="12"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62.2 </w:t>
            </w:r>
          </w:p>
        </w:tc>
      </w:tr>
    </w:tbl>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黑体简体" w:cs="Times New Roman"/>
          <w:bCs/>
          <w:color w:val="auto"/>
          <w:kern w:val="0"/>
          <w:sz w:val="28"/>
          <w:szCs w:val="28"/>
        </w:rPr>
      </w:pPr>
      <w:r>
        <w:rPr>
          <w:rFonts w:hint="default" w:ascii="Times New Roman" w:hAnsi="Times New Roman" w:eastAsia="方正仿宋简体" w:cs="Times New Roman"/>
          <w:color w:val="auto"/>
          <w:sz w:val="32"/>
          <w:szCs w:val="32"/>
        </w:rPr>
        <w:t>全年旅客运输总量2.58亿</w:t>
      </w:r>
      <w:r>
        <w:rPr>
          <w:rFonts w:hint="eastAsia" w:ascii="Times New Roman" w:hAnsi="Times New Roman" w:eastAsia="方正仿宋简体" w:cs="Times New Roman"/>
          <w:color w:val="auto"/>
          <w:sz w:val="32"/>
          <w:szCs w:val="32"/>
          <w:lang w:eastAsia="zh-CN"/>
        </w:rPr>
        <w:t>人</w:t>
      </w:r>
      <w:r>
        <w:rPr>
          <w:rFonts w:hint="default" w:ascii="Times New Roman" w:hAnsi="Times New Roman" w:eastAsia="方正仿宋简体" w:cs="Times New Roman"/>
          <w:color w:val="auto"/>
          <w:sz w:val="32"/>
          <w:szCs w:val="32"/>
        </w:rPr>
        <w:t>，比上年增长43.4%。旅客运输周转量573.79亿人公里，增长83.4%。</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黑体简体" w:cs="Times New Roman"/>
          <w:bCs/>
          <w:kern w:val="0"/>
          <w:sz w:val="28"/>
          <w:szCs w:val="28"/>
        </w:rPr>
      </w:pPr>
      <w:r>
        <w:rPr>
          <w:rFonts w:hint="default" w:ascii="Times New Roman" w:hAnsi="Times New Roman" w:eastAsia="方正黑体简体" w:cs="Times New Roman"/>
          <w:bCs/>
          <w:kern w:val="0"/>
          <w:sz w:val="28"/>
          <w:szCs w:val="28"/>
        </w:rPr>
        <w:t>表</w:t>
      </w:r>
      <w:r>
        <w:rPr>
          <w:rFonts w:hint="eastAsia" w:ascii="Times New Roman" w:hAnsi="Times New Roman" w:eastAsia="方正黑体简体" w:cs="Times New Roman"/>
          <w:bCs/>
          <w:kern w:val="0"/>
          <w:sz w:val="28"/>
          <w:szCs w:val="28"/>
          <w:lang w:val="en-US" w:eastAsia="zh-CN"/>
        </w:rPr>
        <w:t>9</w:t>
      </w:r>
      <w:r>
        <w:rPr>
          <w:rFonts w:hint="default" w:ascii="Times New Roman" w:hAnsi="Times New Roman" w:eastAsia="方正黑体简体" w:cs="Times New Roman"/>
          <w:bCs/>
          <w:kern w:val="0"/>
          <w:sz w:val="28"/>
          <w:szCs w:val="28"/>
        </w:rPr>
        <w:t xml:space="preserve">  2023年云南各种运输方式旅客运输量及增长速度</w:t>
      </w:r>
    </w:p>
    <w:tbl>
      <w:tblPr>
        <w:tblStyle w:val="12"/>
        <w:tblW w:w="8021" w:type="dxa"/>
        <w:jc w:val="center"/>
        <w:tblLayout w:type="fixed"/>
        <w:tblCellMar>
          <w:top w:w="0" w:type="dxa"/>
          <w:left w:w="17" w:type="dxa"/>
          <w:bottom w:w="0" w:type="dxa"/>
          <w:right w:w="454" w:type="dxa"/>
        </w:tblCellMar>
      </w:tblPr>
      <w:tblGrid>
        <w:gridCol w:w="2460"/>
        <w:gridCol w:w="1676"/>
        <w:gridCol w:w="2033"/>
        <w:gridCol w:w="1852"/>
      </w:tblGrid>
      <w:tr>
        <w:tblPrEx>
          <w:tblCellMar>
            <w:top w:w="0" w:type="dxa"/>
            <w:left w:w="17" w:type="dxa"/>
            <w:bottom w:w="0" w:type="dxa"/>
            <w:right w:w="454" w:type="dxa"/>
          </w:tblCellMar>
        </w:tblPrEx>
        <w:trPr>
          <w:cantSplit/>
          <w:trHeight w:val="340" w:hRule="atLeast"/>
          <w:jc w:val="center"/>
        </w:trPr>
        <w:tc>
          <w:tcPr>
            <w:tcW w:w="2460"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指  标</w:t>
            </w:r>
          </w:p>
        </w:tc>
        <w:tc>
          <w:tcPr>
            <w:tcW w:w="1676"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单  位</w:t>
            </w:r>
          </w:p>
        </w:tc>
        <w:tc>
          <w:tcPr>
            <w:tcW w:w="2033" w:type="dxa"/>
            <w:tcBorders>
              <w:top w:val="single" w:color="000000" w:sz="12" w:space="0"/>
              <w:bottom w:val="single" w:color="000000" w:sz="4"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绝对数</w:t>
            </w:r>
          </w:p>
        </w:tc>
        <w:tc>
          <w:tcPr>
            <w:tcW w:w="1852" w:type="dxa"/>
            <w:tcBorders>
              <w:top w:val="single" w:color="000000" w:sz="12" w:space="0"/>
              <w:bottom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360" w:lineRule="exact"/>
              <w:ind w:left="0" w:leftChars="0"/>
              <w:jc w:val="center"/>
              <w:textAlignment w:val="center"/>
              <w:rPr>
                <w:rFonts w:hint="default" w:ascii="Times New Roman" w:hAnsi="Times New Roman" w:cs="Times New Roman"/>
                <w:b/>
                <w:bCs/>
                <w:sz w:val="22"/>
              </w:rPr>
            </w:pPr>
            <w:r>
              <w:rPr>
                <w:rFonts w:hint="default" w:ascii="Times New Roman" w:hAnsi="Times New Roman" w:cs="Times New Roman"/>
                <w:b/>
                <w:bCs/>
                <w:kern w:val="0"/>
                <w:sz w:val="22"/>
              </w:rPr>
              <w:t>比上年增长（%）</w:t>
            </w:r>
          </w:p>
        </w:tc>
      </w:tr>
      <w:tr>
        <w:tblPrEx>
          <w:tblCellMar>
            <w:top w:w="0" w:type="dxa"/>
            <w:left w:w="17" w:type="dxa"/>
            <w:bottom w:w="0" w:type="dxa"/>
            <w:right w:w="454" w:type="dxa"/>
          </w:tblCellMar>
        </w:tblPrEx>
        <w:trPr>
          <w:cantSplit/>
          <w:trHeight w:val="90"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旅客运输总量</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2.58 </w:t>
            </w:r>
          </w:p>
        </w:tc>
        <w:tc>
          <w:tcPr>
            <w:tcW w:w="1852" w:type="dxa"/>
            <w:tcBorders>
              <w:top w:val="single" w:color="000000" w:sz="4"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43.4 </w:t>
            </w:r>
          </w:p>
        </w:tc>
      </w:tr>
      <w:tr>
        <w:tblPrEx>
          <w:tblCellMar>
            <w:top w:w="0" w:type="dxa"/>
            <w:left w:w="17" w:type="dxa"/>
            <w:bottom w:w="0" w:type="dxa"/>
            <w:right w:w="454" w:type="dxa"/>
          </w:tblCellMar>
        </w:tblPrEx>
        <w:trPr>
          <w:cantSplit/>
          <w:trHeight w:val="325"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铁  路</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1.10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100.0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公  路</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1.31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12.2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水  运</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0.06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116.9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民  航</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0.11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102.7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旅客运输周转量</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亿人公里</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573.79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83.4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铁  路</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亿人公里</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280.09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104.5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公  路</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亿人公里</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133.50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29.2 </w:t>
            </w:r>
          </w:p>
        </w:tc>
      </w:tr>
      <w:tr>
        <w:tblPrEx>
          <w:tblCellMar>
            <w:top w:w="0" w:type="dxa"/>
            <w:left w:w="17" w:type="dxa"/>
            <w:bottom w:w="0" w:type="dxa"/>
            <w:right w:w="454" w:type="dxa"/>
          </w:tblCellMar>
        </w:tblPrEx>
        <w:trPr>
          <w:cantSplit/>
          <w:trHeight w:val="283" w:hRule="atLeast"/>
          <w:jc w:val="center"/>
        </w:trPr>
        <w:tc>
          <w:tcPr>
            <w:tcW w:w="2460"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水  运</w:t>
            </w:r>
          </w:p>
        </w:tc>
        <w:tc>
          <w:tcPr>
            <w:tcW w:w="1676" w:type="dxa"/>
            <w:tcBorders>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亿人公里</w:t>
            </w:r>
          </w:p>
        </w:tc>
        <w:tc>
          <w:tcPr>
            <w:tcW w:w="2033" w:type="dxa"/>
            <w:tcBorders>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1.00 </w:t>
            </w:r>
          </w:p>
        </w:tc>
        <w:tc>
          <w:tcPr>
            <w:tcW w:w="1852" w:type="dxa"/>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109.5 </w:t>
            </w:r>
          </w:p>
        </w:tc>
      </w:tr>
      <w:tr>
        <w:tblPrEx>
          <w:tblCellMar>
            <w:top w:w="0" w:type="dxa"/>
            <w:left w:w="17" w:type="dxa"/>
            <w:bottom w:w="0" w:type="dxa"/>
            <w:right w:w="454" w:type="dxa"/>
          </w:tblCellMar>
        </w:tblPrEx>
        <w:trPr>
          <w:cantSplit/>
          <w:trHeight w:val="283" w:hRule="atLeast"/>
          <w:jc w:val="center"/>
        </w:trPr>
        <w:tc>
          <w:tcPr>
            <w:tcW w:w="2460" w:type="dxa"/>
            <w:tcBorders>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eastAsia" w:ascii="Times New Roman" w:hAnsi="Times New Roman" w:cs="Times New Roman"/>
                <w:color w:val="auto"/>
                <w:sz w:val="22"/>
                <w:lang w:val="en-US" w:eastAsia="zh-CN"/>
              </w:rPr>
              <w:t xml:space="preserve">    </w:t>
            </w:r>
            <w:r>
              <w:rPr>
                <w:rFonts w:hint="default" w:ascii="Times New Roman" w:hAnsi="Times New Roman" w:cs="Times New Roman"/>
                <w:color w:val="auto"/>
                <w:sz w:val="22"/>
                <w:lang w:val="en-US" w:eastAsia="zh-CN"/>
              </w:rPr>
              <w:t>民  航</w:t>
            </w:r>
          </w:p>
        </w:tc>
        <w:tc>
          <w:tcPr>
            <w:tcW w:w="1676" w:type="dxa"/>
            <w:tcBorders>
              <w:bottom w:val="single" w:color="000000" w:sz="12" w:space="0"/>
              <w:right w:val="single" w:color="000000" w:sz="4" w:space="0"/>
            </w:tcBorders>
            <w:shd w:val="clear" w:color="auto" w:fill="FFFFFF"/>
            <w:tcMar>
              <w:right w:w="0" w:type="dxa"/>
            </w:tcMar>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center"/>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亿人公里</w:t>
            </w:r>
          </w:p>
        </w:tc>
        <w:tc>
          <w:tcPr>
            <w:tcW w:w="2033" w:type="dxa"/>
            <w:tcBorders>
              <w:bottom w:val="single" w:color="000000" w:sz="12" w:space="0"/>
              <w:right w:val="single" w:color="000000" w:sz="4" w:space="0"/>
            </w:tcBorders>
            <w:shd w:val="clear" w:color="auto" w:fill="FFFFFF"/>
            <w:vAlign w:val="center"/>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159.20 </w:t>
            </w:r>
          </w:p>
        </w:tc>
        <w:tc>
          <w:tcPr>
            <w:tcW w:w="1852" w:type="dxa"/>
            <w:tcBorders>
              <w:bottom w:val="single" w:color="000000" w:sz="12" w:space="0"/>
            </w:tcBorders>
            <w:shd w:val="clear" w:color="auto" w:fill="FFFFFF"/>
            <w:vAlign w:val="top"/>
          </w:tcPr>
          <w:p>
            <w:pPr>
              <w:keepNext w:val="0"/>
              <w:keepLines w:val="0"/>
              <w:pageBreakBefore w:val="0"/>
              <w:widowControl w:val="0"/>
              <w:kinsoku/>
              <w:wordWrap/>
              <w:overflowPunct w:val="0"/>
              <w:topLinePunct w:val="0"/>
              <w:autoSpaceDE/>
              <w:autoSpaceDN/>
              <w:bidi w:val="0"/>
              <w:adjustRightInd/>
              <w:snapToGrid/>
              <w:spacing w:line="400" w:lineRule="exact"/>
              <w:ind w:left="0" w:leftChars="0"/>
              <w:jc w:val="right"/>
              <w:rPr>
                <w:rFonts w:hint="default" w:ascii="Times New Roman" w:hAnsi="Times New Roman" w:cs="Times New Roman"/>
                <w:color w:val="auto"/>
                <w:sz w:val="22"/>
                <w:lang w:val="en-US" w:eastAsia="zh-CN"/>
              </w:rPr>
            </w:pPr>
            <w:r>
              <w:rPr>
                <w:rFonts w:hint="default" w:ascii="Times New Roman" w:hAnsi="Times New Roman" w:cs="Times New Roman"/>
                <w:color w:val="auto"/>
                <w:sz w:val="22"/>
                <w:lang w:val="en-US" w:eastAsia="zh-CN"/>
              </w:rPr>
              <w:t xml:space="preserve">120.7 </w:t>
            </w:r>
          </w:p>
        </w:tc>
      </w:tr>
    </w:tbl>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年末全省民用汽车保有量957.23万辆（包括三轮汽车和低速货车</w:t>
      </w:r>
      <w:r>
        <w:rPr>
          <w:rFonts w:hint="default" w:ascii="Times New Roman" w:hAnsi="Times New Roman" w:eastAsia="方正仿宋简体" w:cs="Times New Roman"/>
          <w:color w:val="auto"/>
          <w:sz w:val="32"/>
          <w:szCs w:val="32"/>
          <w:highlight w:val="none"/>
          <w:lang w:val="en-US" w:eastAsia="zh-CN"/>
        </w:rPr>
        <w:t>1.04</w:t>
      </w:r>
      <w:r>
        <w:rPr>
          <w:rFonts w:hint="default" w:ascii="Times New Roman" w:hAnsi="Times New Roman" w:eastAsia="方正仿宋简体" w:cs="Times New Roman"/>
          <w:color w:val="auto"/>
          <w:sz w:val="32"/>
          <w:szCs w:val="32"/>
          <w:highlight w:val="none"/>
        </w:rPr>
        <w:t>万辆），比上年末增长</w:t>
      </w:r>
      <w:r>
        <w:rPr>
          <w:rFonts w:hint="default" w:ascii="Times New Roman" w:hAnsi="Times New Roman" w:eastAsia="方正仿宋简体" w:cs="Times New Roman"/>
          <w:color w:val="auto"/>
          <w:sz w:val="32"/>
          <w:szCs w:val="32"/>
          <w:highlight w:val="none"/>
          <w:lang w:val="en-US" w:eastAsia="zh-CN"/>
        </w:rPr>
        <w:t>5.1</w:t>
      </w:r>
      <w:r>
        <w:rPr>
          <w:rFonts w:hint="default" w:ascii="Times New Roman" w:hAnsi="Times New Roman" w:eastAsia="方正仿宋简体" w:cs="Times New Roman"/>
          <w:color w:val="auto"/>
          <w:sz w:val="32"/>
          <w:szCs w:val="32"/>
          <w:highlight w:val="none"/>
        </w:rPr>
        <w:t>%，其中</w:t>
      </w:r>
      <w:r>
        <w:rPr>
          <w:rFonts w:hint="default" w:ascii="Times New Roman" w:hAnsi="Times New Roman" w:eastAsia="方正仿宋简体" w:cs="Times New Roman"/>
          <w:color w:val="auto"/>
          <w:sz w:val="32"/>
          <w:szCs w:val="32"/>
          <w:highlight w:val="none"/>
          <w:lang w:eastAsia="zh-CN"/>
        </w:rPr>
        <w:t>个</w:t>
      </w:r>
      <w:r>
        <w:rPr>
          <w:rFonts w:hint="default" w:ascii="Times New Roman" w:hAnsi="Times New Roman" w:eastAsia="方正仿宋简体" w:cs="Times New Roman"/>
          <w:color w:val="auto"/>
          <w:sz w:val="32"/>
          <w:szCs w:val="32"/>
          <w:highlight w:val="none"/>
        </w:rPr>
        <w:t>人汽车保有量</w:t>
      </w:r>
      <w:r>
        <w:rPr>
          <w:rFonts w:hint="default" w:ascii="Times New Roman" w:hAnsi="Times New Roman" w:eastAsia="方正仿宋简体" w:cs="Times New Roman"/>
          <w:color w:val="auto"/>
          <w:sz w:val="32"/>
          <w:szCs w:val="32"/>
          <w:highlight w:val="none"/>
          <w:lang w:val="en-US" w:eastAsia="zh-CN"/>
        </w:rPr>
        <w:t>887.01</w:t>
      </w:r>
      <w:r>
        <w:rPr>
          <w:rFonts w:hint="default" w:ascii="Times New Roman" w:hAnsi="Times New Roman" w:eastAsia="方正仿宋简体" w:cs="Times New Roman"/>
          <w:color w:val="auto"/>
          <w:sz w:val="32"/>
          <w:szCs w:val="32"/>
          <w:highlight w:val="none"/>
        </w:rPr>
        <w:t>万辆，增长</w:t>
      </w:r>
      <w:r>
        <w:rPr>
          <w:rFonts w:hint="default" w:ascii="Times New Roman" w:hAnsi="Times New Roman" w:eastAsia="方正仿宋简体" w:cs="Times New Roman"/>
          <w:color w:val="auto"/>
          <w:sz w:val="32"/>
          <w:szCs w:val="32"/>
          <w:highlight w:val="none"/>
          <w:lang w:val="en-US" w:eastAsia="zh-CN"/>
        </w:rPr>
        <w:t>5.0</w:t>
      </w:r>
      <w:r>
        <w:rPr>
          <w:rFonts w:hint="default" w:ascii="Times New Roman" w:hAnsi="Times New Roman" w:eastAsia="方正仿宋简体" w:cs="Times New Roman"/>
          <w:color w:val="auto"/>
          <w:sz w:val="32"/>
          <w:szCs w:val="32"/>
          <w:highlight w:val="none"/>
        </w:rPr>
        <w:t>%。民用轿车保有量</w:t>
      </w:r>
      <w:r>
        <w:rPr>
          <w:rFonts w:hint="default" w:ascii="Times New Roman" w:hAnsi="Times New Roman" w:eastAsia="方正仿宋简体" w:cs="Times New Roman"/>
          <w:color w:val="auto"/>
          <w:sz w:val="32"/>
          <w:szCs w:val="32"/>
          <w:highlight w:val="none"/>
          <w:lang w:val="en-US" w:eastAsia="zh-CN"/>
        </w:rPr>
        <w:t>422.94</w:t>
      </w:r>
      <w:r>
        <w:rPr>
          <w:rFonts w:hint="default" w:ascii="Times New Roman" w:hAnsi="Times New Roman" w:eastAsia="方正仿宋简体" w:cs="Times New Roman"/>
          <w:color w:val="auto"/>
          <w:sz w:val="32"/>
          <w:szCs w:val="32"/>
          <w:highlight w:val="none"/>
        </w:rPr>
        <w:t>万辆，增长</w:t>
      </w:r>
      <w:r>
        <w:rPr>
          <w:rFonts w:hint="default" w:ascii="Times New Roman" w:hAnsi="Times New Roman" w:eastAsia="方正仿宋简体" w:cs="Times New Roman"/>
          <w:color w:val="auto"/>
          <w:sz w:val="32"/>
          <w:szCs w:val="32"/>
          <w:highlight w:val="none"/>
          <w:lang w:val="en-US" w:eastAsia="zh-CN"/>
        </w:rPr>
        <w:t>6.5</w:t>
      </w:r>
      <w:r>
        <w:rPr>
          <w:rFonts w:hint="default" w:ascii="Times New Roman" w:hAnsi="Times New Roman" w:eastAsia="方正仿宋简体" w:cs="Times New Roman"/>
          <w:color w:val="auto"/>
          <w:sz w:val="32"/>
          <w:szCs w:val="32"/>
          <w:highlight w:val="none"/>
        </w:rPr>
        <w:t>%，其中</w:t>
      </w:r>
      <w:r>
        <w:rPr>
          <w:rFonts w:hint="default" w:ascii="Times New Roman" w:hAnsi="Times New Roman" w:eastAsia="方正仿宋简体" w:cs="Times New Roman"/>
          <w:color w:val="auto"/>
          <w:sz w:val="32"/>
          <w:szCs w:val="32"/>
          <w:highlight w:val="none"/>
          <w:lang w:eastAsia="zh-CN"/>
        </w:rPr>
        <w:t>个</w:t>
      </w:r>
      <w:r>
        <w:rPr>
          <w:rFonts w:hint="default" w:ascii="Times New Roman" w:hAnsi="Times New Roman" w:eastAsia="方正仿宋简体" w:cs="Times New Roman"/>
          <w:color w:val="auto"/>
          <w:sz w:val="32"/>
          <w:szCs w:val="32"/>
          <w:highlight w:val="none"/>
        </w:rPr>
        <w:t>人轿车保有量</w:t>
      </w:r>
      <w:r>
        <w:rPr>
          <w:rFonts w:hint="default" w:ascii="Times New Roman" w:hAnsi="Times New Roman" w:eastAsia="方正仿宋简体" w:cs="Times New Roman"/>
          <w:color w:val="auto"/>
          <w:sz w:val="32"/>
          <w:szCs w:val="32"/>
          <w:highlight w:val="none"/>
          <w:lang w:val="en-US" w:eastAsia="zh-CN"/>
        </w:rPr>
        <w:t>402.56</w:t>
      </w:r>
      <w:r>
        <w:rPr>
          <w:rFonts w:hint="default" w:ascii="Times New Roman" w:hAnsi="Times New Roman" w:eastAsia="方正仿宋简体" w:cs="Times New Roman"/>
          <w:color w:val="auto"/>
          <w:sz w:val="32"/>
          <w:szCs w:val="32"/>
          <w:highlight w:val="none"/>
        </w:rPr>
        <w:t>万辆，增长</w:t>
      </w:r>
      <w:r>
        <w:rPr>
          <w:rFonts w:hint="default" w:ascii="Times New Roman" w:hAnsi="Times New Roman" w:eastAsia="方正仿宋简体" w:cs="Times New Roman"/>
          <w:color w:val="auto"/>
          <w:sz w:val="32"/>
          <w:szCs w:val="32"/>
          <w:highlight w:val="none"/>
          <w:lang w:val="en-US" w:eastAsia="zh-CN"/>
        </w:rPr>
        <w:t>6.2</w:t>
      </w:r>
      <w:r>
        <w:rPr>
          <w:rFonts w:hint="default" w:ascii="Times New Roman" w:hAnsi="Times New Roman" w:eastAsia="方正仿宋简体" w:cs="Times New Roman"/>
          <w:color w:val="auto"/>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全年完成邮政行业寄递业务总量</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14"/>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rPr>
        <w:t>15.95亿件，比上年增长</w:t>
      </w:r>
      <w:r>
        <w:rPr>
          <w:rFonts w:hint="default" w:ascii="Times New Roman" w:hAnsi="Times New Roman" w:eastAsia="方正仿宋简体" w:cs="Times New Roman"/>
          <w:color w:val="auto"/>
          <w:sz w:val="32"/>
          <w:szCs w:val="32"/>
          <w:highlight w:val="none"/>
          <w:lang w:val="en-US" w:eastAsia="zh-CN"/>
        </w:rPr>
        <w:t>13.1</w:t>
      </w:r>
      <w:r>
        <w:rPr>
          <w:rFonts w:hint="default" w:ascii="Times New Roman" w:hAnsi="Times New Roman" w:eastAsia="方正仿宋简体" w:cs="Times New Roman"/>
          <w:color w:val="auto"/>
          <w:sz w:val="32"/>
          <w:szCs w:val="32"/>
          <w:highlight w:val="none"/>
        </w:rPr>
        <w:t>%。邮政业完成邮政函件业务</w:t>
      </w:r>
      <w:r>
        <w:rPr>
          <w:rFonts w:hint="default" w:ascii="Times New Roman" w:hAnsi="Times New Roman" w:eastAsia="方正仿宋简体" w:cs="Times New Roman"/>
          <w:color w:val="auto"/>
          <w:sz w:val="32"/>
          <w:szCs w:val="32"/>
          <w:highlight w:val="none"/>
          <w:lang w:val="en-US" w:eastAsia="zh-CN"/>
        </w:rPr>
        <w:t>644.68</w:t>
      </w:r>
      <w:r>
        <w:rPr>
          <w:rFonts w:hint="default" w:ascii="Times New Roman" w:hAnsi="Times New Roman" w:eastAsia="方正仿宋简体" w:cs="Times New Roman"/>
          <w:color w:val="auto"/>
          <w:sz w:val="32"/>
          <w:szCs w:val="32"/>
          <w:highlight w:val="none"/>
          <w:lang w:eastAsia="zh-CN"/>
        </w:rPr>
        <w:t>万</w:t>
      </w:r>
      <w:r>
        <w:rPr>
          <w:rFonts w:hint="default" w:ascii="Times New Roman" w:hAnsi="Times New Roman" w:eastAsia="方正仿宋简体" w:cs="Times New Roman"/>
          <w:color w:val="auto"/>
          <w:sz w:val="32"/>
          <w:szCs w:val="32"/>
          <w:highlight w:val="none"/>
        </w:rPr>
        <w:t>件，包裹业务</w:t>
      </w:r>
      <w:r>
        <w:rPr>
          <w:rFonts w:hint="default" w:ascii="Times New Roman" w:hAnsi="Times New Roman" w:eastAsia="方正仿宋简体" w:cs="Times New Roman"/>
          <w:color w:val="auto"/>
          <w:sz w:val="32"/>
          <w:szCs w:val="32"/>
          <w:highlight w:val="none"/>
          <w:lang w:val="en-US" w:eastAsia="zh-CN"/>
        </w:rPr>
        <w:t>20.5</w:t>
      </w:r>
      <w:r>
        <w:rPr>
          <w:rFonts w:hint="default" w:ascii="Times New Roman" w:hAnsi="Times New Roman" w:eastAsia="方正仿宋简体" w:cs="Times New Roman"/>
          <w:color w:val="auto"/>
          <w:sz w:val="32"/>
          <w:szCs w:val="32"/>
          <w:highlight w:val="none"/>
          <w:lang w:eastAsia="zh-CN"/>
        </w:rPr>
        <w:t>万</w:t>
      </w:r>
      <w:r>
        <w:rPr>
          <w:rFonts w:hint="default" w:ascii="Times New Roman" w:hAnsi="Times New Roman" w:eastAsia="方正仿宋简体" w:cs="Times New Roman"/>
          <w:color w:val="auto"/>
          <w:sz w:val="32"/>
          <w:szCs w:val="32"/>
          <w:highlight w:val="none"/>
        </w:rPr>
        <w:t>件，快递业务量</w:t>
      </w:r>
      <w:r>
        <w:rPr>
          <w:rFonts w:hint="default" w:ascii="Times New Roman" w:hAnsi="Times New Roman" w:eastAsia="方正仿宋简体" w:cs="Times New Roman"/>
          <w:color w:val="auto"/>
          <w:sz w:val="32"/>
          <w:szCs w:val="32"/>
          <w:highlight w:val="none"/>
          <w:lang w:val="en-US" w:eastAsia="zh-CN"/>
        </w:rPr>
        <w:t>10.90</w:t>
      </w:r>
      <w:r>
        <w:rPr>
          <w:rFonts w:hint="default" w:ascii="Times New Roman" w:hAnsi="Times New Roman" w:eastAsia="方正仿宋简体" w:cs="Times New Roman"/>
          <w:color w:val="auto"/>
          <w:sz w:val="32"/>
          <w:szCs w:val="32"/>
          <w:highlight w:val="none"/>
        </w:rPr>
        <w:t>亿件，快递业务收入</w:t>
      </w:r>
      <w:r>
        <w:rPr>
          <w:rFonts w:hint="default" w:ascii="Times New Roman" w:hAnsi="Times New Roman" w:eastAsia="方正仿宋简体" w:cs="Times New Roman"/>
          <w:color w:val="auto"/>
          <w:sz w:val="32"/>
          <w:szCs w:val="32"/>
          <w:highlight w:val="none"/>
          <w:lang w:val="en-US" w:eastAsia="zh-CN"/>
        </w:rPr>
        <w:t>114.02</w:t>
      </w:r>
      <w:r>
        <w:rPr>
          <w:rFonts w:hint="default" w:ascii="Times New Roman" w:hAnsi="Times New Roman" w:eastAsia="方正仿宋简体" w:cs="Times New Roman"/>
          <w:color w:val="auto"/>
          <w:sz w:val="32"/>
          <w:szCs w:val="32"/>
          <w:highlight w:val="none"/>
        </w:rPr>
        <w:t>亿元。电信业务总量</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15"/>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highlight w:val="none"/>
          <w:lang w:val="en-US" w:eastAsia="zh-CN"/>
        </w:rPr>
        <w:t>503.06</w:t>
      </w:r>
      <w:r>
        <w:rPr>
          <w:rFonts w:hint="default" w:ascii="Times New Roman" w:hAnsi="Times New Roman" w:eastAsia="方正仿宋简体" w:cs="Times New Roman"/>
          <w:color w:val="auto"/>
          <w:sz w:val="32"/>
          <w:szCs w:val="32"/>
          <w:highlight w:val="none"/>
        </w:rPr>
        <w:t>亿元，增长</w:t>
      </w:r>
      <w:r>
        <w:rPr>
          <w:rFonts w:hint="default" w:ascii="Times New Roman" w:hAnsi="Times New Roman" w:eastAsia="方正仿宋简体" w:cs="Times New Roman"/>
          <w:color w:val="auto"/>
          <w:sz w:val="32"/>
          <w:szCs w:val="32"/>
          <w:highlight w:val="none"/>
          <w:lang w:val="en-US" w:eastAsia="zh-CN"/>
        </w:rPr>
        <w:t>13.2</w:t>
      </w:r>
      <w:r>
        <w:rPr>
          <w:rFonts w:hint="default" w:ascii="Times New Roman" w:hAnsi="Times New Roman" w:eastAsia="方正仿宋简体" w:cs="Times New Roman"/>
          <w:color w:val="auto"/>
          <w:sz w:val="32"/>
          <w:szCs w:val="32"/>
          <w:highlight w:val="none"/>
        </w:rPr>
        <w:t>%。新增移动电话用户</w:t>
      </w:r>
      <w:r>
        <w:rPr>
          <w:rFonts w:hint="default" w:ascii="Times New Roman" w:hAnsi="Times New Roman" w:eastAsia="方正仿宋简体" w:cs="Times New Roman"/>
          <w:color w:val="auto"/>
          <w:sz w:val="32"/>
          <w:szCs w:val="32"/>
          <w:highlight w:val="none"/>
          <w:lang w:val="en-US" w:eastAsia="zh-CN"/>
        </w:rPr>
        <w:t>43.10</w:t>
      </w:r>
      <w:r>
        <w:rPr>
          <w:rFonts w:hint="default" w:ascii="Times New Roman" w:hAnsi="Times New Roman" w:eastAsia="方正仿宋简体" w:cs="Times New Roman"/>
          <w:color w:val="auto"/>
          <w:sz w:val="32"/>
          <w:szCs w:val="32"/>
          <w:highlight w:val="none"/>
        </w:rPr>
        <w:t>万户，年末达到5175.4</w:t>
      </w:r>
      <w:r>
        <w:rPr>
          <w:rFonts w:hint="default" w:ascii="Times New Roman" w:hAnsi="Times New Roman" w:eastAsia="方正仿宋简体" w:cs="Times New Roman"/>
          <w:color w:val="auto"/>
          <w:sz w:val="32"/>
          <w:szCs w:val="32"/>
          <w:highlight w:val="none"/>
          <w:lang w:val="en-US" w:eastAsia="zh-CN"/>
        </w:rPr>
        <w:t>8</w:t>
      </w:r>
      <w:r>
        <w:rPr>
          <w:rFonts w:hint="default" w:ascii="Times New Roman" w:hAnsi="Times New Roman" w:eastAsia="方正仿宋简体" w:cs="Times New Roman"/>
          <w:color w:val="auto"/>
          <w:sz w:val="32"/>
          <w:szCs w:val="32"/>
          <w:highlight w:val="none"/>
        </w:rPr>
        <w:t>万户，其中4G移动电话用户</w:t>
      </w:r>
      <w:r>
        <w:rPr>
          <w:rFonts w:hint="default" w:ascii="Times New Roman" w:hAnsi="Times New Roman" w:eastAsia="方正仿宋简体" w:cs="Times New Roman"/>
          <w:color w:val="auto"/>
          <w:sz w:val="32"/>
          <w:szCs w:val="32"/>
          <w:highlight w:val="none"/>
          <w:lang w:val="en-US" w:eastAsia="zh-CN"/>
        </w:rPr>
        <w:t>2182.76</w:t>
      </w:r>
      <w:r>
        <w:rPr>
          <w:rFonts w:hint="default" w:ascii="Times New Roman" w:hAnsi="Times New Roman" w:eastAsia="方正仿宋简体" w:cs="Times New Roman"/>
          <w:color w:val="auto"/>
          <w:sz w:val="32"/>
          <w:szCs w:val="32"/>
          <w:highlight w:val="none"/>
        </w:rPr>
        <w:t>万户，5G移动电话用户</w:t>
      </w:r>
      <w:r>
        <w:rPr>
          <w:rFonts w:hint="default" w:ascii="Times New Roman" w:hAnsi="Times New Roman" w:eastAsia="方正仿宋简体" w:cs="Times New Roman"/>
          <w:color w:val="auto"/>
          <w:sz w:val="32"/>
          <w:szCs w:val="32"/>
          <w:highlight w:val="none"/>
          <w:lang w:val="en-US" w:eastAsia="zh-CN"/>
        </w:rPr>
        <w:t>2396.88</w:t>
      </w:r>
      <w:r>
        <w:rPr>
          <w:rFonts w:hint="default" w:ascii="Times New Roman" w:hAnsi="Times New Roman" w:eastAsia="方正仿宋简体" w:cs="Times New Roman"/>
          <w:color w:val="auto"/>
          <w:sz w:val="32"/>
          <w:szCs w:val="32"/>
          <w:highlight w:val="none"/>
        </w:rPr>
        <w:t>万户。年末全省固定及移动电话用户总数</w:t>
      </w:r>
      <w:r>
        <w:rPr>
          <w:rFonts w:hint="default" w:ascii="Times New Roman" w:hAnsi="Times New Roman" w:eastAsia="方正仿宋简体" w:cs="Times New Roman"/>
          <w:color w:val="auto"/>
          <w:sz w:val="32"/>
          <w:szCs w:val="32"/>
          <w:highlight w:val="none"/>
          <w:lang w:val="en-US" w:eastAsia="zh-CN"/>
        </w:rPr>
        <w:t>5422.66</w:t>
      </w:r>
      <w:r>
        <w:rPr>
          <w:rFonts w:hint="default" w:ascii="Times New Roman" w:hAnsi="Times New Roman" w:eastAsia="方正仿宋简体" w:cs="Times New Roman"/>
          <w:color w:val="auto"/>
          <w:sz w:val="32"/>
          <w:szCs w:val="32"/>
          <w:highlight w:val="none"/>
        </w:rPr>
        <w:t>万户，比上年末增加</w:t>
      </w:r>
      <w:r>
        <w:rPr>
          <w:rFonts w:hint="default" w:ascii="Times New Roman" w:hAnsi="Times New Roman" w:eastAsia="方正仿宋简体" w:cs="Times New Roman"/>
          <w:color w:val="auto"/>
          <w:sz w:val="32"/>
          <w:szCs w:val="32"/>
          <w:highlight w:val="none"/>
          <w:lang w:val="en-US" w:eastAsia="zh-CN"/>
        </w:rPr>
        <w:t>30.55</w:t>
      </w:r>
      <w:r>
        <w:rPr>
          <w:rFonts w:hint="default" w:ascii="Times New Roman" w:hAnsi="Times New Roman" w:eastAsia="方正仿宋简体" w:cs="Times New Roman"/>
          <w:color w:val="auto"/>
          <w:sz w:val="32"/>
          <w:szCs w:val="32"/>
          <w:highlight w:val="none"/>
        </w:rPr>
        <w:t>万户。固定电话普及率</w:t>
      </w:r>
      <w:r>
        <w:rPr>
          <w:rFonts w:hint="default" w:ascii="Times New Roman" w:hAnsi="Times New Roman" w:eastAsia="方正仿宋简体" w:cs="Times New Roman"/>
          <w:color w:val="auto"/>
          <w:sz w:val="32"/>
          <w:szCs w:val="32"/>
          <w:highlight w:val="none"/>
          <w:lang w:val="en-US" w:eastAsia="zh-CN"/>
        </w:rPr>
        <w:t>5.27</w:t>
      </w:r>
      <w:r>
        <w:rPr>
          <w:rFonts w:hint="default" w:ascii="Times New Roman" w:hAnsi="Times New Roman" w:eastAsia="方正仿宋简体" w:cs="Times New Roman"/>
          <w:color w:val="auto"/>
          <w:sz w:val="32"/>
          <w:szCs w:val="32"/>
          <w:highlight w:val="none"/>
        </w:rPr>
        <w:t>部/百人，移动电话普及率</w:t>
      </w:r>
      <w:r>
        <w:rPr>
          <w:rFonts w:hint="default" w:ascii="Times New Roman" w:hAnsi="Times New Roman" w:eastAsia="方正仿宋简体" w:cs="Times New Roman"/>
          <w:color w:val="auto"/>
          <w:sz w:val="32"/>
          <w:szCs w:val="32"/>
          <w:highlight w:val="none"/>
          <w:lang w:val="en-US" w:eastAsia="zh-CN"/>
        </w:rPr>
        <w:t>110.35</w:t>
      </w:r>
      <w:r>
        <w:rPr>
          <w:rFonts w:hint="default" w:ascii="Times New Roman" w:hAnsi="Times New Roman" w:eastAsia="方正仿宋简体" w:cs="Times New Roman"/>
          <w:color w:val="auto"/>
          <w:sz w:val="32"/>
          <w:szCs w:val="32"/>
          <w:highlight w:val="none"/>
        </w:rPr>
        <w:t>部/百人。固定互联网宽带接入用户</w:t>
      </w:r>
      <w:r>
        <w:rPr>
          <w:rFonts w:hint="default" w:ascii="Times New Roman" w:hAnsi="Times New Roman" w:eastAsia="方正仿宋简体" w:cs="Times New Roman"/>
          <w:color w:val="auto"/>
          <w:sz w:val="32"/>
          <w:szCs w:val="32"/>
          <w:highlight w:val="none"/>
          <w:lang w:val="en-US" w:eastAsia="zh-CN"/>
        </w:rPr>
        <w:t>1778.32</w:t>
      </w:r>
      <w:r>
        <w:rPr>
          <w:rFonts w:hint="default" w:ascii="Times New Roman" w:hAnsi="Times New Roman" w:eastAsia="方正仿宋简体" w:cs="Times New Roman"/>
          <w:color w:val="auto"/>
          <w:sz w:val="32"/>
          <w:szCs w:val="32"/>
          <w:highlight w:val="none"/>
        </w:rPr>
        <w:t>万户，比上年增加</w:t>
      </w:r>
      <w:r>
        <w:rPr>
          <w:rFonts w:hint="default" w:ascii="Times New Roman" w:hAnsi="Times New Roman" w:eastAsia="方正仿宋简体" w:cs="Times New Roman"/>
          <w:color w:val="auto"/>
          <w:sz w:val="32"/>
          <w:szCs w:val="32"/>
          <w:highlight w:val="none"/>
          <w:lang w:val="en-US" w:eastAsia="zh-CN"/>
        </w:rPr>
        <w:t>151.13</w:t>
      </w:r>
      <w:r>
        <w:rPr>
          <w:rFonts w:hint="default" w:ascii="Times New Roman" w:hAnsi="Times New Roman" w:eastAsia="方正仿宋简体" w:cs="Times New Roman"/>
          <w:color w:val="auto"/>
          <w:sz w:val="32"/>
          <w:szCs w:val="32"/>
          <w:highlight w:val="none"/>
        </w:rPr>
        <w:t>万户；移动互联网用户</w:t>
      </w:r>
      <w:r>
        <w:rPr>
          <w:rFonts w:hint="default" w:ascii="Times New Roman" w:hAnsi="Times New Roman" w:eastAsia="方正仿宋简体" w:cs="Times New Roman"/>
          <w:color w:val="auto"/>
          <w:sz w:val="32"/>
          <w:szCs w:val="32"/>
          <w:highlight w:val="none"/>
          <w:lang w:val="en-US" w:eastAsia="zh-CN"/>
        </w:rPr>
        <w:t>4475.31</w:t>
      </w:r>
      <w:r>
        <w:rPr>
          <w:rFonts w:hint="default" w:ascii="Times New Roman" w:hAnsi="Times New Roman" w:eastAsia="方正仿宋简体" w:cs="Times New Roman"/>
          <w:color w:val="auto"/>
          <w:sz w:val="32"/>
          <w:szCs w:val="32"/>
          <w:highlight w:val="none"/>
        </w:rPr>
        <w:t>万户（含无线上网用户和手机上网用户），增加</w:t>
      </w:r>
      <w:r>
        <w:rPr>
          <w:rFonts w:hint="default" w:ascii="Times New Roman" w:hAnsi="Times New Roman" w:eastAsia="方正仿宋简体" w:cs="Times New Roman"/>
          <w:color w:val="auto"/>
          <w:sz w:val="32"/>
          <w:szCs w:val="32"/>
          <w:highlight w:val="none"/>
          <w:lang w:val="en-US" w:eastAsia="zh-CN"/>
        </w:rPr>
        <w:t>200.18</w:t>
      </w:r>
      <w:r>
        <w:rPr>
          <w:rFonts w:hint="default" w:ascii="Times New Roman" w:hAnsi="Times New Roman" w:eastAsia="方正仿宋简体" w:cs="Times New Roman"/>
          <w:color w:val="auto"/>
          <w:sz w:val="32"/>
          <w:szCs w:val="32"/>
          <w:highlight w:val="none"/>
        </w:rPr>
        <w:t>万户，年末固定电话用户</w:t>
      </w:r>
      <w:r>
        <w:rPr>
          <w:rFonts w:hint="default" w:ascii="Times New Roman" w:hAnsi="Times New Roman" w:eastAsia="方正仿宋简体" w:cs="Times New Roman"/>
          <w:color w:val="auto"/>
          <w:sz w:val="32"/>
          <w:szCs w:val="32"/>
          <w:highlight w:val="none"/>
          <w:lang w:val="en-US" w:eastAsia="zh-CN"/>
        </w:rPr>
        <w:t>247.17</w:t>
      </w:r>
      <w:r>
        <w:rPr>
          <w:rFonts w:hint="default" w:ascii="Times New Roman" w:hAnsi="Times New Roman" w:eastAsia="方正仿宋简体" w:cs="Times New Roman"/>
          <w:color w:val="auto"/>
          <w:sz w:val="32"/>
          <w:szCs w:val="32"/>
          <w:highlight w:val="none"/>
        </w:rPr>
        <w:t>万户。</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4739640" cy="2736215"/>
            <wp:effectExtent l="0" t="0" r="3810" b="6985"/>
            <wp:docPr id="22" name="图片 22"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8"/>
                    <pic:cNvPicPr>
                      <a:picLocks noChangeAspect="1"/>
                    </pic:cNvPicPr>
                  </pic:nvPicPr>
                  <pic:blipFill>
                    <a:blip r:embed="rId14"/>
                    <a:stretch>
                      <a:fillRect/>
                    </a:stretch>
                  </pic:blipFill>
                  <pic:spPr>
                    <a:xfrm>
                      <a:off x="0" y="0"/>
                      <a:ext cx="4739640" cy="2736215"/>
                    </a:xfrm>
                    <a:prstGeom prst="rect">
                      <a:avLst/>
                    </a:prstGeom>
                  </pic:spPr>
                </pic:pic>
              </a:graphicData>
            </a:graphic>
          </wp:inline>
        </w:drawing>
      </w:r>
    </w:p>
    <w:p>
      <w:pPr>
        <w:pStyle w:val="3"/>
        <w:keepNext w:val="0"/>
        <w:keepLines w:val="0"/>
        <w:pageBreakBefore w:val="0"/>
        <w:widowControl w:val="0"/>
        <w:kinsoku/>
        <w:wordWrap/>
        <w:overflowPunct w:val="0"/>
        <w:topLinePunct w:val="0"/>
        <w:autoSpaceDE/>
        <w:autoSpaceDN/>
        <w:bidi w:val="0"/>
        <w:adjustRightInd/>
        <w:snapToGrid/>
        <w:spacing w:line="240" w:lineRule="auto"/>
        <w:ind w:left="0" w:leftChars="0"/>
        <w:jc w:val="center"/>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drawing>
          <wp:inline distT="0" distB="0" distL="114300" distR="114300">
            <wp:extent cx="4754245" cy="2755265"/>
            <wp:effectExtent l="0" t="0" r="8255" b="6985"/>
            <wp:docPr id="11" name="图片 11"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9"/>
                    <pic:cNvPicPr>
                      <a:picLocks noChangeAspect="1"/>
                    </pic:cNvPicPr>
                  </pic:nvPicPr>
                  <pic:blipFill>
                    <a:blip r:embed="rId15"/>
                    <a:stretch>
                      <a:fillRect/>
                    </a:stretch>
                  </pic:blipFill>
                  <pic:spPr>
                    <a:xfrm>
                      <a:off x="0" y="0"/>
                      <a:ext cx="4754245" cy="275526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九、财政和金融</w:t>
      </w:r>
    </w:p>
    <w:p>
      <w:pPr>
        <w:pStyle w:val="2"/>
        <w:keepNext w:val="0"/>
        <w:keepLines w:val="0"/>
        <w:pageBreakBefore w:val="0"/>
        <w:widowControl w:val="0"/>
        <w:kinsoku/>
        <w:wordWrap/>
        <w:overflowPunct w:val="0"/>
        <w:topLinePunct w:val="0"/>
        <w:autoSpaceDE/>
        <w:autoSpaceDN/>
        <w:bidi w:val="0"/>
        <w:adjustRightInd/>
        <w:snapToGrid/>
        <w:spacing w:after="157" w:afterLines="50" w:line="560"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全年全省财政总收入</w:t>
      </w:r>
      <w:r>
        <w:rPr>
          <w:rFonts w:hint="default" w:ascii="Times New Roman" w:hAnsi="Times New Roman" w:eastAsia="方正仿宋简体" w:cs="Times New Roman"/>
          <w:color w:val="auto"/>
          <w:sz w:val="32"/>
          <w:szCs w:val="32"/>
          <w:lang w:val="en-US" w:eastAsia="zh-CN"/>
        </w:rPr>
        <w:t>4067.56</w:t>
      </w:r>
      <w:r>
        <w:rPr>
          <w:rFonts w:hint="default" w:ascii="Times New Roman" w:hAnsi="Times New Roman" w:eastAsia="方正仿宋简体" w:cs="Times New Roman"/>
          <w:color w:val="auto"/>
          <w:sz w:val="32"/>
          <w:szCs w:val="32"/>
        </w:rPr>
        <w:t>亿元，</w:t>
      </w:r>
      <w:r>
        <w:rPr>
          <w:rFonts w:hint="default" w:ascii="Times New Roman" w:hAnsi="Times New Roman" w:eastAsia="方正仿宋简体" w:cs="Times New Roman"/>
          <w:color w:val="auto"/>
          <w:sz w:val="32"/>
          <w:szCs w:val="32"/>
          <w:lang w:eastAsia="zh-CN"/>
        </w:rPr>
        <w:t>比上年增长</w:t>
      </w:r>
      <w:r>
        <w:rPr>
          <w:rFonts w:hint="default" w:ascii="Times New Roman" w:hAnsi="Times New Roman" w:eastAsia="方正仿宋简体" w:cs="Times New Roman"/>
          <w:color w:val="auto"/>
          <w:sz w:val="32"/>
          <w:szCs w:val="32"/>
          <w:lang w:val="en-US" w:eastAsia="zh-CN"/>
        </w:rPr>
        <w:t>17.7%</w:t>
      </w:r>
      <w:r>
        <w:rPr>
          <w:rFonts w:hint="default" w:ascii="Times New Roman" w:hAnsi="Times New Roman" w:eastAsia="方正仿宋简体" w:cs="Times New Roman"/>
          <w:color w:val="auto"/>
          <w:sz w:val="32"/>
          <w:szCs w:val="32"/>
        </w:rPr>
        <w:t>。全省地方一般公共预算收入完成</w:t>
      </w:r>
      <w:r>
        <w:rPr>
          <w:rFonts w:hint="default" w:ascii="Times New Roman" w:hAnsi="Times New Roman" w:eastAsia="方正仿宋简体" w:cs="Times New Roman"/>
          <w:color w:val="auto"/>
          <w:sz w:val="32"/>
          <w:szCs w:val="32"/>
          <w:lang w:val="en-US" w:eastAsia="zh-CN"/>
        </w:rPr>
        <w:t>2149.44</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10.3</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其中</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税收收入</w:t>
      </w:r>
      <w:r>
        <w:rPr>
          <w:rFonts w:hint="default" w:ascii="Times New Roman" w:hAnsi="Times New Roman" w:eastAsia="方正仿宋简体" w:cs="Times New Roman"/>
          <w:color w:val="auto"/>
          <w:sz w:val="32"/>
          <w:szCs w:val="32"/>
          <w:lang w:val="en-US" w:eastAsia="zh-CN"/>
        </w:rPr>
        <w:t>1387.76</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15.9</w:t>
      </w:r>
      <w:r>
        <w:rPr>
          <w:rFonts w:hint="default" w:ascii="Times New Roman" w:hAnsi="Times New Roman" w:eastAsia="方正仿宋简体" w:cs="Times New Roman"/>
          <w:color w:val="auto"/>
          <w:sz w:val="32"/>
          <w:szCs w:val="32"/>
        </w:rPr>
        <w:t>%；增值税</w:t>
      </w:r>
      <w:r>
        <w:rPr>
          <w:rFonts w:hint="default" w:ascii="Times New Roman" w:hAnsi="Times New Roman" w:eastAsia="方正仿宋简体" w:cs="Times New Roman"/>
          <w:color w:val="auto"/>
          <w:sz w:val="32"/>
          <w:szCs w:val="32"/>
          <w:lang w:val="en-US" w:eastAsia="zh-CN"/>
        </w:rPr>
        <w:t>562.35</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74.2</w:t>
      </w:r>
      <w:r>
        <w:rPr>
          <w:rFonts w:hint="default" w:ascii="Times New Roman" w:hAnsi="Times New Roman" w:eastAsia="方正仿宋简体" w:cs="Times New Roman"/>
          <w:color w:val="auto"/>
          <w:sz w:val="32"/>
          <w:szCs w:val="32"/>
        </w:rPr>
        <w:t>%。全省地方一般公共预算支出完成</w:t>
      </w:r>
      <w:r>
        <w:rPr>
          <w:rFonts w:hint="default" w:ascii="Times New Roman" w:hAnsi="Times New Roman" w:eastAsia="方正仿宋简体" w:cs="Times New Roman"/>
          <w:color w:val="auto"/>
          <w:sz w:val="32"/>
          <w:szCs w:val="32"/>
          <w:lang w:val="en-US" w:eastAsia="zh-CN"/>
        </w:rPr>
        <w:t>6730.34</w:t>
      </w:r>
      <w:r>
        <w:rPr>
          <w:rFonts w:hint="default" w:ascii="Times New Roman" w:hAnsi="Times New Roman" w:eastAsia="方正仿宋简体" w:cs="Times New Roman"/>
          <w:color w:val="auto"/>
          <w:sz w:val="32"/>
          <w:szCs w:val="32"/>
        </w:rPr>
        <w:t>亿元，增长</w:t>
      </w:r>
      <w:r>
        <w:rPr>
          <w:rFonts w:hint="default" w:ascii="Times New Roman" w:hAnsi="Times New Roman" w:eastAsia="方正仿宋简体" w:cs="Times New Roman"/>
          <w:color w:val="auto"/>
          <w:sz w:val="32"/>
          <w:szCs w:val="32"/>
          <w:lang w:val="en-US" w:eastAsia="zh-CN"/>
        </w:rPr>
        <w:t>0.5</w:t>
      </w:r>
      <w:r>
        <w:rPr>
          <w:rFonts w:hint="default" w:ascii="Times New Roman" w:hAnsi="Times New Roman" w:eastAsia="方正仿宋简体" w:cs="Times New Roman"/>
          <w:color w:val="auto"/>
          <w:sz w:val="32"/>
          <w:szCs w:val="32"/>
        </w:rPr>
        <w:t>%。其中，</w:t>
      </w:r>
      <w:r>
        <w:rPr>
          <w:rFonts w:hint="default" w:ascii="Times New Roman" w:hAnsi="Times New Roman" w:eastAsia="方正仿宋简体" w:cs="Times New Roman"/>
          <w:color w:val="auto"/>
          <w:sz w:val="32"/>
          <w:szCs w:val="32"/>
          <w:lang w:eastAsia="zh-CN"/>
        </w:rPr>
        <w:t>社会保障和就业</w:t>
      </w:r>
      <w:r>
        <w:rPr>
          <w:rFonts w:hint="default" w:ascii="Times New Roman" w:hAnsi="Times New Roman" w:eastAsia="方正仿宋简体" w:cs="Times New Roman"/>
          <w:color w:val="auto"/>
          <w:sz w:val="32"/>
          <w:szCs w:val="32"/>
        </w:rPr>
        <w:t>支出增长</w:t>
      </w:r>
      <w:r>
        <w:rPr>
          <w:rFonts w:hint="default" w:ascii="Times New Roman" w:hAnsi="Times New Roman" w:eastAsia="方正仿宋简体" w:cs="Times New Roman"/>
          <w:color w:val="auto"/>
          <w:sz w:val="32"/>
          <w:szCs w:val="32"/>
          <w:lang w:val="en-US" w:eastAsia="zh-CN"/>
        </w:rPr>
        <w:t>13.2</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卫生健康</w:t>
      </w:r>
      <w:r>
        <w:rPr>
          <w:rFonts w:hint="default" w:ascii="Times New Roman" w:hAnsi="Times New Roman" w:eastAsia="方正仿宋简体" w:cs="Times New Roman"/>
          <w:color w:val="auto"/>
          <w:sz w:val="32"/>
          <w:szCs w:val="32"/>
        </w:rPr>
        <w:t>支出增长</w:t>
      </w:r>
      <w:r>
        <w:rPr>
          <w:rFonts w:hint="default" w:ascii="Times New Roman" w:hAnsi="Times New Roman" w:eastAsia="方正仿宋简体" w:cs="Times New Roman"/>
          <w:color w:val="auto"/>
          <w:sz w:val="32"/>
          <w:szCs w:val="32"/>
          <w:lang w:val="en-US" w:eastAsia="zh-CN"/>
        </w:rPr>
        <w:t>6.4</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节能环保</w:t>
      </w:r>
      <w:r>
        <w:rPr>
          <w:rFonts w:hint="default" w:ascii="Times New Roman" w:hAnsi="Times New Roman" w:eastAsia="方正仿宋简体" w:cs="Times New Roman"/>
          <w:color w:val="auto"/>
          <w:sz w:val="32"/>
          <w:szCs w:val="32"/>
        </w:rPr>
        <w:t>支出增长</w:t>
      </w:r>
      <w:r>
        <w:rPr>
          <w:rFonts w:hint="default" w:ascii="Times New Roman" w:hAnsi="Times New Roman" w:eastAsia="方正仿宋简体" w:cs="Times New Roman"/>
          <w:color w:val="auto"/>
          <w:sz w:val="32"/>
          <w:szCs w:val="32"/>
          <w:lang w:val="en-US" w:eastAsia="zh-CN"/>
        </w:rPr>
        <w:t>4.8</w:t>
      </w:r>
      <w:r>
        <w:rPr>
          <w:rFonts w:hint="default" w:ascii="Times New Roman" w:hAnsi="Times New Roman" w:eastAsia="方正仿宋简体" w:cs="Times New Roman"/>
          <w:color w:val="auto"/>
          <w:sz w:val="32"/>
          <w:szCs w:val="32"/>
        </w:rPr>
        <w:t>%；</w:t>
      </w:r>
      <w:r>
        <w:rPr>
          <w:rFonts w:hint="default" w:ascii="Times New Roman" w:hAnsi="Times New Roman" w:eastAsia="方正仿宋简体" w:cs="Times New Roman"/>
          <w:color w:val="auto"/>
          <w:sz w:val="32"/>
          <w:szCs w:val="32"/>
          <w:lang w:eastAsia="zh-CN"/>
        </w:rPr>
        <w:t>教育</w:t>
      </w:r>
      <w:r>
        <w:rPr>
          <w:rFonts w:hint="default" w:ascii="Times New Roman" w:hAnsi="Times New Roman" w:eastAsia="方正仿宋简体" w:cs="Times New Roman"/>
          <w:color w:val="auto"/>
          <w:sz w:val="32"/>
          <w:szCs w:val="32"/>
        </w:rPr>
        <w:t>支出增长</w:t>
      </w:r>
      <w:r>
        <w:rPr>
          <w:rFonts w:hint="default" w:ascii="Times New Roman" w:hAnsi="Times New Roman" w:eastAsia="方正仿宋简体" w:cs="Times New Roman"/>
          <w:color w:val="auto"/>
          <w:sz w:val="32"/>
          <w:szCs w:val="32"/>
          <w:lang w:val="en-US" w:eastAsia="zh-CN"/>
        </w:rPr>
        <w:t>0.8</w:t>
      </w:r>
      <w:r>
        <w:rPr>
          <w:rFonts w:hint="default" w:ascii="Times New Roman" w:hAnsi="Times New Roman" w:eastAsia="方正仿宋简体" w:cs="Times New Roman"/>
          <w:color w:val="auto"/>
          <w:sz w:val="32"/>
          <w:szCs w:val="32"/>
        </w:rPr>
        <w:t>%。</w:t>
      </w:r>
    </w:p>
    <w:p>
      <w:pPr>
        <w:pStyle w:val="2"/>
        <w:keepNext w:val="0"/>
        <w:keepLines w:val="0"/>
        <w:pageBreakBefore w:val="0"/>
        <w:widowControl w:val="0"/>
        <w:kinsoku/>
        <w:wordWrap/>
        <w:overflowPunct w:val="0"/>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lang w:eastAsia="zh-CN"/>
        </w:rPr>
        <w:drawing>
          <wp:inline distT="0" distB="0" distL="114300" distR="114300">
            <wp:extent cx="4986655" cy="2774950"/>
            <wp:effectExtent l="0" t="0" r="4445" b="6350"/>
            <wp:docPr id="24" name="图片 24"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10"/>
                    <pic:cNvPicPr>
                      <a:picLocks noChangeAspect="1"/>
                    </pic:cNvPicPr>
                  </pic:nvPicPr>
                  <pic:blipFill>
                    <a:blip r:embed="rId16"/>
                    <a:stretch>
                      <a:fillRect/>
                    </a:stretch>
                  </pic:blipFill>
                  <pic:spPr>
                    <a:xfrm>
                      <a:off x="0" y="0"/>
                      <a:ext cx="4986655" cy="2774950"/>
                    </a:xfrm>
                    <a:prstGeom prst="rect">
                      <a:avLst/>
                    </a:prstGeom>
                  </pic:spPr>
                </pic:pic>
              </a:graphicData>
            </a:graphic>
          </wp:inline>
        </w:drawing>
      </w:r>
    </w:p>
    <w:p>
      <w:pPr>
        <w:pStyle w:val="2"/>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全年金融业实现增加值</w:t>
      </w:r>
      <w:r>
        <w:rPr>
          <w:rFonts w:hint="default" w:ascii="Times New Roman" w:hAnsi="Times New Roman" w:eastAsia="方正仿宋简体" w:cs="Times New Roman"/>
          <w:sz w:val="32"/>
          <w:szCs w:val="32"/>
          <w:lang w:val="en-US" w:eastAsia="zh-CN"/>
        </w:rPr>
        <w:t>1602.56</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US" w:eastAsia="zh-CN"/>
        </w:rPr>
        <w:t>4.5</w:t>
      </w:r>
      <w:r>
        <w:rPr>
          <w:rFonts w:hint="default" w:ascii="Times New Roman" w:hAnsi="Times New Roman" w:eastAsia="方正仿宋简体" w:cs="Times New Roman"/>
          <w:sz w:val="32"/>
          <w:szCs w:val="32"/>
        </w:rPr>
        <w:t>%。年末金融机构人民币存款余额43196.91亿元，增长</w:t>
      </w:r>
      <w:r>
        <w:rPr>
          <w:rFonts w:hint="default" w:ascii="Times New Roman" w:hAnsi="Times New Roman" w:eastAsia="方正仿宋简体" w:cs="Times New Roman"/>
          <w:sz w:val="32"/>
          <w:szCs w:val="32"/>
          <w:lang w:val="en-US" w:eastAsia="zh-CN"/>
        </w:rPr>
        <w:t>9.5</w:t>
      </w:r>
      <w:r>
        <w:rPr>
          <w:rFonts w:hint="default" w:ascii="Times New Roman" w:hAnsi="Times New Roman" w:eastAsia="方正仿宋简体" w:cs="Times New Roman"/>
          <w:sz w:val="32"/>
          <w:szCs w:val="32"/>
        </w:rPr>
        <w:t>%，其中住户存款余额24268.72亿元，增长</w:t>
      </w:r>
      <w:r>
        <w:rPr>
          <w:rFonts w:hint="default" w:ascii="Times New Roman" w:hAnsi="Times New Roman" w:eastAsia="方正仿宋简体" w:cs="Times New Roman"/>
          <w:sz w:val="32"/>
          <w:szCs w:val="32"/>
          <w:lang w:val="en-US" w:eastAsia="zh-CN"/>
        </w:rPr>
        <w:t>11.7</w:t>
      </w:r>
      <w:r>
        <w:rPr>
          <w:rFonts w:hint="default" w:ascii="Times New Roman" w:hAnsi="Times New Roman" w:eastAsia="方正仿宋简体" w:cs="Times New Roman"/>
          <w:sz w:val="32"/>
          <w:szCs w:val="32"/>
        </w:rPr>
        <w:t>%。年末全省金融机构人民币贷款余额45632.18亿元，增长</w:t>
      </w:r>
      <w:r>
        <w:rPr>
          <w:rFonts w:hint="default" w:ascii="Times New Roman" w:hAnsi="Times New Roman" w:eastAsia="方正仿宋简体" w:cs="Times New Roman"/>
          <w:sz w:val="32"/>
          <w:szCs w:val="32"/>
          <w:lang w:val="en-US" w:eastAsia="zh-CN"/>
        </w:rPr>
        <w:t>7.8</w:t>
      </w:r>
      <w:r>
        <w:rPr>
          <w:rFonts w:hint="default" w:ascii="Times New Roman" w:hAnsi="Times New Roman" w:eastAsia="方正仿宋简体" w:cs="Times New Roman"/>
          <w:sz w:val="32"/>
          <w:szCs w:val="32"/>
        </w:rPr>
        <w:t>%，其中，住户短期消费贷款余额</w:t>
      </w:r>
      <w:r>
        <w:rPr>
          <w:rFonts w:hint="default" w:ascii="Times New Roman" w:hAnsi="Times New Roman" w:eastAsia="方正仿宋简体" w:cs="Times New Roman"/>
          <w:sz w:val="32"/>
          <w:szCs w:val="32"/>
          <w:lang w:val="en-US" w:eastAsia="zh-CN"/>
        </w:rPr>
        <w:t>1464.53</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6.1</w:t>
      </w:r>
      <w:r>
        <w:rPr>
          <w:rFonts w:hint="default" w:ascii="Times New Roman" w:hAnsi="Times New Roman" w:eastAsia="方正仿宋简体" w:cs="Times New Roman"/>
          <w:sz w:val="32"/>
          <w:szCs w:val="32"/>
        </w:rPr>
        <w:t>%；住户中长期消费贷款余额</w:t>
      </w:r>
      <w:r>
        <w:rPr>
          <w:rFonts w:hint="default" w:ascii="Times New Roman" w:hAnsi="Times New Roman" w:eastAsia="方正仿宋简体" w:cs="Times New Roman"/>
          <w:sz w:val="32"/>
          <w:szCs w:val="32"/>
          <w:lang w:val="en-US" w:eastAsia="zh-CN"/>
        </w:rPr>
        <w:t>8723.11</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4.6</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全年保险公司原保险保费收入760.3</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US" w:eastAsia="zh-CN"/>
        </w:rPr>
        <w:t>4.9</w:t>
      </w:r>
      <w:r>
        <w:rPr>
          <w:rFonts w:hint="default" w:ascii="Times New Roman" w:hAnsi="Times New Roman" w:eastAsia="方正仿宋简体" w:cs="Times New Roman"/>
          <w:sz w:val="32"/>
          <w:szCs w:val="32"/>
        </w:rPr>
        <w:t>%。其中，财产险业务原保险保费收入</w:t>
      </w:r>
      <w:r>
        <w:rPr>
          <w:rFonts w:hint="default" w:ascii="Times New Roman" w:hAnsi="Times New Roman" w:eastAsia="方正仿宋简体" w:cs="Times New Roman"/>
          <w:sz w:val="32"/>
          <w:szCs w:val="32"/>
          <w:lang w:val="en-US" w:eastAsia="zh-CN"/>
        </w:rPr>
        <w:t>285.93</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3.0</w:t>
      </w:r>
      <w:r>
        <w:rPr>
          <w:rFonts w:hint="default" w:ascii="Times New Roman" w:hAnsi="Times New Roman" w:eastAsia="方正仿宋简体" w:cs="Times New Roman"/>
          <w:sz w:val="32"/>
          <w:szCs w:val="32"/>
        </w:rPr>
        <w:t>%；寿险业务原保险保费收入</w:t>
      </w:r>
      <w:r>
        <w:rPr>
          <w:rFonts w:hint="default" w:ascii="Times New Roman" w:hAnsi="Times New Roman" w:eastAsia="方正仿宋简体" w:cs="Times New Roman"/>
          <w:sz w:val="32"/>
          <w:szCs w:val="32"/>
          <w:lang w:val="en-US" w:eastAsia="zh-CN"/>
        </w:rPr>
        <w:t>300.11</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10.7</w:t>
      </w:r>
      <w:r>
        <w:rPr>
          <w:rFonts w:hint="default" w:ascii="Times New Roman" w:hAnsi="Times New Roman" w:eastAsia="方正仿宋简体" w:cs="Times New Roman"/>
          <w:sz w:val="32"/>
          <w:szCs w:val="32"/>
        </w:rPr>
        <w:t>%；健康险业务原保险保费收入</w:t>
      </w:r>
      <w:r>
        <w:rPr>
          <w:rFonts w:hint="default" w:ascii="Times New Roman" w:hAnsi="Times New Roman" w:eastAsia="方正仿宋简体" w:cs="Times New Roman"/>
          <w:sz w:val="32"/>
          <w:szCs w:val="32"/>
          <w:lang w:val="en-US" w:eastAsia="zh-CN"/>
        </w:rPr>
        <w:t>150.57</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0.1</w:t>
      </w:r>
      <w:r>
        <w:rPr>
          <w:rFonts w:hint="default" w:ascii="Times New Roman" w:hAnsi="Times New Roman" w:eastAsia="方正仿宋简体" w:cs="Times New Roman"/>
          <w:sz w:val="32"/>
          <w:szCs w:val="32"/>
        </w:rPr>
        <w:t>%；意外伤害险业务原保险保费收入</w:t>
      </w:r>
      <w:r>
        <w:rPr>
          <w:rFonts w:hint="default" w:ascii="Times New Roman" w:hAnsi="Times New Roman" w:eastAsia="方正仿宋简体" w:cs="Times New Roman"/>
          <w:sz w:val="32"/>
          <w:szCs w:val="32"/>
          <w:lang w:val="en-US" w:eastAsia="zh-CN"/>
        </w:rPr>
        <w:t>23.69</w:t>
      </w:r>
      <w:r>
        <w:rPr>
          <w:rFonts w:hint="default" w:ascii="Times New Roman" w:hAnsi="Times New Roman" w:eastAsia="方正仿宋简体" w:cs="Times New Roman"/>
          <w:sz w:val="32"/>
          <w:szCs w:val="32"/>
        </w:rPr>
        <w:t>亿元，</w:t>
      </w:r>
      <w:r>
        <w:rPr>
          <w:rFonts w:hint="eastAsia"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8.8</w:t>
      </w:r>
      <w:r>
        <w:rPr>
          <w:rFonts w:hint="default" w:ascii="Times New Roman" w:hAnsi="Times New Roman" w:eastAsia="方正仿宋简体" w:cs="Times New Roman"/>
          <w:sz w:val="32"/>
          <w:szCs w:val="32"/>
        </w:rPr>
        <w:t>%。全年支付各类赔款及给付</w:t>
      </w:r>
      <w:r>
        <w:rPr>
          <w:rFonts w:hint="default" w:ascii="Times New Roman" w:hAnsi="Times New Roman" w:eastAsia="方正仿宋简体" w:cs="Times New Roman"/>
          <w:sz w:val="32"/>
          <w:szCs w:val="32"/>
          <w:lang w:val="en-US" w:eastAsia="zh-CN"/>
        </w:rPr>
        <w:t>336.47</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7.0</w:t>
      </w:r>
      <w:r>
        <w:rPr>
          <w:rFonts w:hint="default" w:ascii="Times New Roman" w:hAnsi="Times New Roman" w:eastAsia="方正仿宋简体" w:cs="Times New Roman"/>
          <w:sz w:val="32"/>
          <w:szCs w:val="32"/>
        </w:rPr>
        <w:t>%。其中，财产险业务赔款</w:t>
      </w:r>
      <w:r>
        <w:rPr>
          <w:rFonts w:hint="default" w:ascii="Times New Roman" w:hAnsi="Times New Roman" w:eastAsia="方正仿宋简体" w:cs="Times New Roman"/>
          <w:sz w:val="32"/>
          <w:szCs w:val="32"/>
          <w:lang w:val="en-US" w:eastAsia="zh-CN"/>
        </w:rPr>
        <w:t>180.19</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5.9</w:t>
      </w:r>
      <w:r>
        <w:rPr>
          <w:rFonts w:hint="default" w:ascii="Times New Roman" w:hAnsi="Times New Roman" w:eastAsia="方正仿宋简体" w:cs="Times New Roman"/>
          <w:sz w:val="32"/>
          <w:szCs w:val="32"/>
        </w:rPr>
        <w:t>%；寿险业务给付</w:t>
      </w:r>
      <w:r>
        <w:rPr>
          <w:rFonts w:hint="default" w:ascii="Times New Roman" w:hAnsi="Times New Roman" w:eastAsia="方正仿宋简体" w:cs="Times New Roman"/>
          <w:sz w:val="32"/>
          <w:szCs w:val="32"/>
          <w:lang w:val="en-US" w:eastAsia="zh-CN"/>
        </w:rPr>
        <w:t>60.50</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23.1</w:t>
      </w:r>
      <w:r>
        <w:rPr>
          <w:rFonts w:hint="default" w:ascii="Times New Roman" w:hAnsi="Times New Roman" w:eastAsia="方正仿宋简体" w:cs="Times New Roman"/>
          <w:sz w:val="32"/>
          <w:szCs w:val="32"/>
        </w:rPr>
        <w:t>%；健康险赔款及给付</w:t>
      </w:r>
      <w:r>
        <w:rPr>
          <w:rFonts w:hint="default" w:ascii="Times New Roman" w:hAnsi="Times New Roman" w:eastAsia="方正仿宋简体" w:cs="Times New Roman"/>
          <w:sz w:val="32"/>
          <w:szCs w:val="32"/>
          <w:lang w:val="en-US" w:eastAsia="zh-CN"/>
        </w:rPr>
        <w:t>86.34</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0.5</w:t>
      </w:r>
      <w:r>
        <w:rPr>
          <w:rFonts w:hint="default" w:ascii="Times New Roman" w:hAnsi="Times New Roman" w:eastAsia="方正仿宋简体" w:cs="Times New Roman"/>
          <w:sz w:val="32"/>
          <w:szCs w:val="32"/>
        </w:rPr>
        <w:t>%；意外伤害险赔款及给付</w:t>
      </w:r>
      <w:r>
        <w:rPr>
          <w:rFonts w:hint="default" w:ascii="Times New Roman" w:hAnsi="Times New Roman" w:eastAsia="方正仿宋简体" w:cs="Times New Roman"/>
          <w:sz w:val="32"/>
          <w:szCs w:val="32"/>
          <w:lang w:val="en-US" w:eastAsia="zh-CN"/>
        </w:rPr>
        <w:t>9.44</w:t>
      </w:r>
      <w:r>
        <w:rPr>
          <w:rFonts w:hint="default" w:ascii="Times New Roman" w:hAnsi="Times New Roman" w:eastAsia="方正仿宋简体" w:cs="Times New Roman"/>
          <w:sz w:val="32"/>
          <w:szCs w:val="32"/>
        </w:rPr>
        <w:t>亿元，增长</w:t>
      </w:r>
      <w:r>
        <w:rPr>
          <w:rFonts w:hint="default" w:ascii="Times New Roman" w:hAnsi="Times New Roman" w:eastAsia="方正仿宋简体" w:cs="Times New Roman"/>
          <w:sz w:val="32"/>
          <w:szCs w:val="32"/>
          <w:lang w:val="en-US" w:eastAsia="zh-CN"/>
        </w:rPr>
        <w:t>4.2</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全年云南企业通过证券市场累计融资</w:t>
      </w:r>
      <w:r>
        <w:rPr>
          <w:rFonts w:hint="default" w:ascii="Times New Roman" w:hAnsi="Times New Roman" w:eastAsia="方正仿宋简体" w:cs="Times New Roman"/>
          <w:sz w:val="32"/>
          <w:szCs w:val="32"/>
          <w:lang w:val="en-US" w:eastAsia="zh-CN"/>
        </w:rPr>
        <w:t>428.02</w:t>
      </w:r>
      <w:r>
        <w:rPr>
          <w:rFonts w:hint="default" w:ascii="Times New Roman" w:hAnsi="Times New Roman" w:eastAsia="方正仿宋简体" w:cs="Times New Roman"/>
          <w:sz w:val="32"/>
          <w:szCs w:val="32"/>
        </w:rPr>
        <w:t>亿元，比上年增加</w:t>
      </w:r>
      <w:r>
        <w:rPr>
          <w:rFonts w:hint="default" w:ascii="Times New Roman" w:hAnsi="Times New Roman" w:eastAsia="方正仿宋简体" w:cs="Times New Roman"/>
          <w:sz w:val="32"/>
          <w:szCs w:val="32"/>
          <w:lang w:val="en-US" w:eastAsia="zh-CN"/>
        </w:rPr>
        <w:t>101.94</w:t>
      </w:r>
      <w:r>
        <w:rPr>
          <w:rFonts w:hint="default" w:ascii="Times New Roman" w:hAnsi="Times New Roman" w:eastAsia="方正仿宋简体" w:cs="Times New Roman"/>
          <w:sz w:val="32"/>
          <w:szCs w:val="32"/>
        </w:rPr>
        <w:t>亿元。其中，A股再融资（包括配股、公开增发、非公开增发）</w:t>
      </w:r>
      <w:r>
        <w:rPr>
          <w:rFonts w:hint="default" w:ascii="Times New Roman" w:hAnsi="Times New Roman" w:eastAsia="方正仿宋简体" w:cs="Times New Roman"/>
          <w:sz w:val="32"/>
          <w:szCs w:val="32"/>
          <w:lang w:val="en-US" w:eastAsia="zh-CN"/>
        </w:rPr>
        <w:t>92.11</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增加</w:t>
      </w:r>
      <w:r>
        <w:rPr>
          <w:rFonts w:hint="default" w:ascii="Times New Roman" w:hAnsi="Times New Roman" w:eastAsia="方正仿宋简体" w:cs="Times New Roman"/>
          <w:sz w:val="32"/>
          <w:szCs w:val="32"/>
          <w:lang w:val="en-US" w:eastAsia="zh-CN"/>
        </w:rPr>
        <w:t>21.46</w:t>
      </w:r>
      <w:r>
        <w:rPr>
          <w:rFonts w:hint="default" w:ascii="Times New Roman" w:hAnsi="Times New Roman" w:eastAsia="方正仿宋简体" w:cs="Times New Roman"/>
          <w:sz w:val="32"/>
          <w:szCs w:val="32"/>
        </w:rPr>
        <w:t>亿元；云南企业通过发行公司债及资产证券化产品融资</w:t>
      </w:r>
      <w:r>
        <w:rPr>
          <w:rFonts w:hint="default" w:ascii="Times New Roman" w:hAnsi="Times New Roman" w:eastAsia="方正仿宋简体" w:cs="Times New Roman"/>
          <w:sz w:val="32"/>
          <w:szCs w:val="32"/>
          <w:lang w:val="en-US" w:eastAsia="zh-CN"/>
        </w:rPr>
        <w:t>335.91</w:t>
      </w:r>
      <w:r>
        <w:rPr>
          <w:rFonts w:hint="default" w:ascii="Times New Roman" w:hAnsi="Times New Roman" w:eastAsia="方正仿宋简体" w:cs="Times New Roman"/>
          <w:sz w:val="32"/>
          <w:szCs w:val="32"/>
        </w:rPr>
        <w:t>亿元，增加</w:t>
      </w:r>
      <w:r>
        <w:rPr>
          <w:rFonts w:hint="default" w:ascii="Times New Roman" w:hAnsi="Times New Roman" w:eastAsia="方正仿宋简体" w:cs="Times New Roman"/>
          <w:sz w:val="32"/>
          <w:szCs w:val="32"/>
          <w:lang w:val="en-US" w:eastAsia="zh-CN"/>
        </w:rPr>
        <w:t>90.56</w:t>
      </w:r>
      <w:r>
        <w:rPr>
          <w:rFonts w:hint="default" w:ascii="Times New Roman" w:hAnsi="Times New Roman" w:eastAsia="方正仿宋简体" w:cs="Times New Roman"/>
          <w:sz w:val="32"/>
          <w:szCs w:val="32"/>
        </w:rPr>
        <w:t>亿元。年末全省有上市公司</w:t>
      </w:r>
      <w:r>
        <w:rPr>
          <w:rFonts w:hint="default" w:ascii="Times New Roman" w:hAnsi="Times New Roman" w:eastAsia="方正仿宋简体" w:cs="Times New Roman"/>
          <w:sz w:val="32"/>
          <w:szCs w:val="32"/>
          <w:lang w:val="en-US" w:eastAsia="zh-CN"/>
        </w:rPr>
        <w:t>41</w:t>
      </w:r>
      <w:r>
        <w:rPr>
          <w:rFonts w:hint="default" w:ascii="Times New Roman" w:hAnsi="Times New Roman" w:eastAsia="方正仿宋简体" w:cs="Times New Roman"/>
          <w:sz w:val="32"/>
          <w:szCs w:val="32"/>
        </w:rPr>
        <w:t>家，总股本</w:t>
      </w:r>
      <w:r>
        <w:rPr>
          <w:rFonts w:hint="default" w:ascii="Times New Roman" w:hAnsi="Times New Roman" w:eastAsia="方正仿宋简体" w:cs="Times New Roman"/>
          <w:sz w:val="32"/>
          <w:szCs w:val="32"/>
          <w:lang w:val="en-US" w:eastAsia="zh-CN"/>
        </w:rPr>
        <w:t>699.73</w:t>
      </w:r>
      <w:r>
        <w:rPr>
          <w:rFonts w:hint="default" w:ascii="Times New Roman" w:hAnsi="Times New Roman" w:eastAsia="方正仿宋简体" w:cs="Times New Roman"/>
          <w:sz w:val="32"/>
          <w:szCs w:val="32"/>
        </w:rPr>
        <w:t>亿股；总市值</w:t>
      </w:r>
      <w:r>
        <w:rPr>
          <w:rFonts w:hint="default" w:ascii="Times New Roman" w:hAnsi="Times New Roman" w:eastAsia="方正仿宋简体" w:cs="Times New Roman"/>
          <w:sz w:val="32"/>
          <w:szCs w:val="32"/>
          <w:lang w:val="en-US" w:eastAsia="zh-CN"/>
        </w:rPr>
        <w:t>7733.38</w:t>
      </w:r>
      <w:r>
        <w:rPr>
          <w:rFonts w:hint="default" w:ascii="Times New Roman" w:hAnsi="Times New Roman" w:eastAsia="方正仿宋简体" w:cs="Times New Roman"/>
          <w:sz w:val="32"/>
          <w:szCs w:val="32"/>
        </w:rPr>
        <w:t>亿元，减少</w:t>
      </w:r>
      <w:r>
        <w:rPr>
          <w:rFonts w:hint="default" w:ascii="Times New Roman" w:hAnsi="Times New Roman" w:eastAsia="方正仿宋简体" w:cs="Times New Roman"/>
          <w:sz w:val="32"/>
          <w:szCs w:val="32"/>
          <w:lang w:val="en-US" w:eastAsia="zh-CN"/>
        </w:rPr>
        <w:t>1180.42</w:t>
      </w:r>
      <w:r>
        <w:rPr>
          <w:rFonts w:hint="default" w:ascii="Times New Roman" w:hAnsi="Times New Roman" w:eastAsia="方正仿宋简体" w:cs="Times New Roman"/>
          <w:sz w:val="32"/>
          <w:szCs w:val="32"/>
        </w:rPr>
        <w:t>亿元。</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十、教育和科学技术</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全年高等教育招生</w:t>
      </w:r>
      <w:r>
        <w:rPr>
          <w:rFonts w:hint="default" w:ascii="Times New Roman" w:hAnsi="Times New Roman" w:eastAsia="方正仿宋简体" w:cs="Times New Roman"/>
          <w:sz w:val="32"/>
          <w:szCs w:val="32"/>
          <w:lang w:val="en-US" w:eastAsia="zh-CN"/>
        </w:rPr>
        <w:t>48.26</w:t>
      </w:r>
      <w:r>
        <w:rPr>
          <w:rFonts w:hint="default" w:ascii="Times New Roman" w:hAnsi="Times New Roman" w:eastAsia="方正仿宋简体" w:cs="Times New Roman"/>
          <w:sz w:val="32"/>
          <w:szCs w:val="32"/>
        </w:rPr>
        <w:t>万人，比上年</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3.</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%，在校生</w:t>
      </w:r>
      <w:r>
        <w:rPr>
          <w:rFonts w:hint="default" w:ascii="Times New Roman" w:hAnsi="Times New Roman" w:eastAsia="方正仿宋简体" w:cs="Times New Roman"/>
          <w:sz w:val="32"/>
          <w:szCs w:val="32"/>
          <w:lang w:val="en-US" w:eastAsia="zh-CN"/>
        </w:rPr>
        <w:t>149.43</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%，毕业生</w:t>
      </w:r>
      <w:r>
        <w:rPr>
          <w:rFonts w:hint="default" w:ascii="Times New Roman" w:hAnsi="Times New Roman" w:eastAsia="方正仿宋简体" w:cs="Times New Roman"/>
          <w:sz w:val="32"/>
          <w:szCs w:val="32"/>
          <w:lang w:val="en-US" w:eastAsia="zh-CN"/>
        </w:rPr>
        <w:t>42.47</w:t>
      </w:r>
      <w:r>
        <w:rPr>
          <w:rFonts w:hint="default" w:ascii="Times New Roman" w:hAnsi="Times New Roman" w:eastAsia="方正仿宋简体" w:cs="Times New Roman"/>
          <w:sz w:val="32"/>
          <w:szCs w:val="32"/>
        </w:rPr>
        <w:t>万人，增长</w:t>
      </w:r>
      <w:r>
        <w:rPr>
          <w:rFonts w:hint="eastAsia" w:ascii="Times New Roman" w:hAnsi="Times New Roman" w:eastAsia="方正仿宋简体" w:cs="Times New Roman"/>
          <w:sz w:val="32"/>
          <w:szCs w:val="32"/>
          <w:lang w:val="en-US" w:eastAsia="zh-CN"/>
        </w:rPr>
        <w:t>10.0</w:t>
      </w:r>
      <w:r>
        <w:rPr>
          <w:rFonts w:hint="default" w:ascii="Times New Roman" w:hAnsi="Times New Roman" w:eastAsia="方正仿宋简体" w:cs="Times New Roman"/>
          <w:sz w:val="32"/>
          <w:szCs w:val="32"/>
        </w:rPr>
        <w:t>%。其中：研究生招生</w:t>
      </w:r>
      <w:r>
        <w:rPr>
          <w:rFonts w:hint="default" w:ascii="Times New Roman" w:hAnsi="Times New Roman" w:eastAsia="方正仿宋简体" w:cs="Times New Roman"/>
          <w:sz w:val="32"/>
          <w:szCs w:val="32"/>
          <w:lang w:val="en-US" w:eastAsia="zh-CN"/>
        </w:rPr>
        <w:t>2.63</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5.6</w:t>
      </w:r>
      <w:r>
        <w:rPr>
          <w:rFonts w:hint="default" w:ascii="Times New Roman" w:hAnsi="Times New Roman" w:eastAsia="方正仿宋简体" w:cs="Times New Roman"/>
          <w:sz w:val="32"/>
          <w:szCs w:val="32"/>
        </w:rPr>
        <w:t>%；在校研究生</w:t>
      </w:r>
      <w:r>
        <w:rPr>
          <w:rFonts w:hint="default" w:ascii="Times New Roman" w:hAnsi="Times New Roman" w:eastAsia="方正仿宋简体" w:cs="Times New Roman"/>
          <w:sz w:val="32"/>
          <w:szCs w:val="32"/>
          <w:lang w:val="en-US" w:eastAsia="zh-CN"/>
        </w:rPr>
        <w:t>7.71</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7.</w:t>
      </w: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%；毕业研究生</w:t>
      </w:r>
      <w:r>
        <w:rPr>
          <w:rFonts w:hint="default" w:ascii="Times New Roman" w:hAnsi="Times New Roman" w:eastAsia="方正仿宋简体" w:cs="Times New Roman"/>
          <w:sz w:val="32"/>
          <w:szCs w:val="32"/>
          <w:lang w:val="en-US" w:eastAsia="zh-CN"/>
        </w:rPr>
        <w:t>2.01</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23.3</w:t>
      </w:r>
      <w:r>
        <w:rPr>
          <w:rFonts w:hint="default" w:ascii="Times New Roman" w:hAnsi="Times New Roman" w:eastAsia="方正仿宋简体" w:cs="Times New Roman"/>
          <w:sz w:val="32"/>
          <w:szCs w:val="32"/>
        </w:rPr>
        <w:t>%。普通本、专科共招生</w:t>
      </w:r>
      <w:r>
        <w:rPr>
          <w:rFonts w:hint="default" w:ascii="Times New Roman" w:hAnsi="Times New Roman" w:eastAsia="方正仿宋简体" w:cs="Times New Roman"/>
          <w:sz w:val="32"/>
          <w:szCs w:val="32"/>
          <w:lang w:val="en-US" w:eastAsia="zh-CN"/>
        </w:rPr>
        <w:t>37.18</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1.8</w:t>
      </w:r>
      <w:r>
        <w:rPr>
          <w:rFonts w:hint="default" w:ascii="Times New Roman" w:hAnsi="Times New Roman" w:eastAsia="方正仿宋简体" w:cs="Times New Roman"/>
          <w:sz w:val="32"/>
          <w:szCs w:val="32"/>
        </w:rPr>
        <w:t>%；在校生</w:t>
      </w:r>
      <w:r>
        <w:rPr>
          <w:rFonts w:hint="default" w:ascii="Times New Roman" w:hAnsi="Times New Roman" w:eastAsia="方正仿宋简体" w:cs="Times New Roman"/>
          <w:sz w:val="32"/>
          <w:szCs w:val="32"/>
          <w:lang w:val="en-US" w:eastAsia="zh-CN"/>
        </w:rPr>
        <w:t>113.71</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3.3</w:t>
      </w:r>
      <w:r>
        <w:rPr>
          <w:rFonts w:hint="default" w:ascii="Times New Roman" w:hAnsi="Times New Roman" w:eastAsia="方正仿宋简体" w:cs="Times New Roman"/>
          <w:sz w:val="32"/>
          <w:szCs w:val="32"/>
        </w:rPr>
        <w:t>%；毕业生</w:t>
      </w:r>
      <w:r>
        <w:rPr>
          <w:rFonts w:hint="default" w:ascii="Times New Roman" w:hAnsi="Times New Roman" w:eastAsia="方正仿宋简体" w:cs="Times New Roman"/>
          <w:sz w:val="32"/>
          <w:szCs w:val="32"/>
          <w:lang w:val="en-US" w:eastAsia="zh-CN"/>
        </w:rPr>
        <w:t>32.25</w:t>
      </w:r>
      <w:r>
        <w:rPr>
          <w:rFonts w:hint="default" w:ascii="Times New Roman" w:hAnsi="Times New Roman" w:eastAsia="方正仿宋简体" w:cs="Times New Roman"/>
          <w:sz w:val="32"/>
          <w:szCs w:val="32"/>
        </w:rPr>
        <w:t>万人，增长</w:t>
      </w:r>
      <w:r>
        <w:rPr>
          <w:rFonts w:hint="default" w:ascii="Times New Roman" w:hAnsi="Times New Roman" w:eastAsia="方正仿宋简体" w:cs="Times New Roman"/>
          <w:sz w:val="32"/>
          <w:szCs w:val="32"/>
          <w:lang w:val="en-US" w:eastAsia="zh-CN"/>
        </w:rPr>
        <w:t>8.4</w:t>
      </w:r>
      <w:r>
        <w:rPr>
          <w:rFonts w:hint="default" w:ascii="Times New Roman" w:hAnsi="Times New Roman" w:eastAsia="方正仿宋简体" w:cs="Times New Roman"/>
          <w:sz w:val="32"/>
          <w:szCs w:val="32"/>
        </w:rPr>
        <w:t>%。成人高等教育本、专科共招生</w:t>
      </w:r>
      <w:r>
        <w:rPr>
          <w:rFonts w:hint="default" w:ascii="Times New Roman" w:hAnsi="Times New Roman" w:eastAsia="方正仿宋简体" w:cs="Times New Roman"/>
          <w:sz w:val="32"/>
          <w:szCs w:val="32"/>
          <w:lang w:val="en-US" w:eastAsia="zh-CN"/>
        </w:rPr>
        <w:t>8.45</w:t>
      </w:r>
      <w:r>
        <w:rPr>
          <w:rFonts w:hint="default" w:ascii="Times New Roman" w:hAnsi="Times New Roman" w:eastAsia="方正仿宋简体" w:cs="Times New Roman"/>
          <w:sz w:val="32"/>
          <w:szCs w:val="32"/>
        </w:rPr>
        <w:t>万人，</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22.</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%；在校生</w:t>
      </w:r>
      <w:r>
        <w:rPr>
          <w:rFonts w:hint="default" w:ascii="Times New Roman" w:hAnsi="Times New Roman" w:eastAsia="方正仿宋简体" w:cs="Times New Roman"/>
          <w:sz w:val="32"/>
          <w:szCs w:val="32"/>
          <w:lang w:val="en-US" w:eastAsia="zh-CN"/>
        </w:rPr>
        <w:t>28.01</w:t>
      </w:r>
      <w:r>
        <w:rPr>
          <w:rFonts w:hint="default" w:ascii="Times New Roman" w:hAnsi="Times New Roman" w:eastAsia="方正仿宋简体" w:cs="Times New Roman"/>
          <w:sz w:val="32"/>
          <w:szCs w:val="32"/>
        </w:rPr>
        <w:t>万人，</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%；毕业生</w:t>
      </w:r>
      <w:r>
        <w:rPr>
          <w:rFonts w:hint="default" w:ascii="Times New Roman" w:hAnsi="Times New Roman" w:eastAsia="方正仿宋简体" w:cs="Times New Roman"/>
          <w:sz w:val="32"/>
          <w:szCs w:val="32"/>
          <w:lang w:val="en-US" w:eastAsia="zh-CN"/>
        </w:rPr>
        <w:t>8.21</w:t>
      </w:r>
      <w:r>
        <w:rPr>
          <w:rFonts w:hint="default" w:ascii="Times New Roman" w:hAnsi="Times New Roman" w:eastAsia="方正仿宋简体" w:cs="Times New Roman"/>
          <w:sz w:val="32"/>
          <w:szCs w:val="32"/>
        </w:rPr>
        <w:t>万人，</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13.2</w:t>
      </w:r>
      <w:r>
        <w:rPr>
          <w:rFonts w:hint="default" w:ascii="Times New Roman" w:hAnsi="Times New Roman" w:eastAsia="方正仿宋简体" w:cs="Times New Roman"/>
          <w:sz w:val="32"/>
          <w:szCs w:val="32"/>
        </w:rPr>
        <w:t>%。各类中等职业教育（含技工学校）招生</w:t>
      </w:r>
      <w:r>
        <w:rPr>
          <w:rFonts w:hint="default" w:ascii="Times New Roman" w:hAnsi="Times New Roman" w:eastAsia="方正仿宋简体" w:cs="Times New Roman"/>
          <w:sz w:val="32"/>
          <w:szCs w:val="32"/>
          <w:lang w:val="en-US" w:eastAsia="zh-CN"/>
        </w:rPr>
        <w:t>19.57</w:t>
      </w:r>
      <w:r>
        <w:rPr>
          <w:rFonts w:hint="default" w:ascii="Times New Roman" w:hAnsi="Times New Roman" w:eastAsia="方正仿宋简体" w:cs="Times New Roman"/>
          <w:sz w:val="32"/>
          <w:szCs w:val="32"/>
        </w:rPr>
        <w:t>万人，在校生</w:t>
      </w:r>
      <w:r>
        <w:rPr>
          <w:rFonts w:hint="default" w:ascii="Times New Roman" w:hAnsi="Times New Roman" w:eastAsia="方正仿宋简体" w:cs="Times New Roman"/>
          <w:sz w:val="32"/>
          <w:szCs w:val="32"/>
          <w:lang w:val="en-US" w:eastAsia="zh-CN"/>
        </w:rPr>
        <w:t>53.87</w:t>
      </w:r>
      <w:r>
        <w:rPr>
          <w:rFonts w:hint="default" w:ascii="Times New Roman" w:hAnsi="Times New Roman" w:eastAsia="方正仿宋简体" w:cs="Times New Roman"/>
          <w:sz w:val="32"/>
          <w:szCs w:val="32"/>
        </w:rPr>
        <w:t>万人，毕业生</w:t>
      </w:r>
      <w:r>
        <w:rPr>
          <w:rFonts w:hint="default" w:ascii="Times New Roman" w:hAnsi="Times New Roman" w:eastAsia="方正仿宋简体" w:cs="Times New Roman"/>
          <w:sz w:val="32"/>
          <w:szCs w:val="32"/>
          <w:lang w:val="en-US" w:eastAsia="zh-CN"/>
        </w:rPr>
        <w:t>23.75</w:t>
      </w:r>
      <w:r>
        <w:rPr>
          <w:rFonts w:hint="default" w:ascii="Times New Roman" w:hAnsi="Times New Roman" w:eastAsia="方正仿宋简体" w:cs="Times New Roman"/>
          <w:sz w:val="32"/>
          <w:szCs w:val="32"/>
        </w:rPr>
        <w:t>万人。普通高中招生</w:t>
      </w:r>
      <w:r>
        <w:rPr>
          <w:rFonts w:hint="default" w:ascii="Times New Roman" w:hAnsi="Times New Roman" w:eastAsia="方正仿宋简体" w:cs="Times New Roman"/>
          <w:sz w:val="32"/>
          <w:szCs w:val="32"/>
          <w:lang w:val="en-US" w:eastAsia="zh-CN"/>
        </w:rPr>
        <w:t>37.22</w:t>
      </w:r>
      <w:r>
        <w:rPr>
          <w:rFonts w:hint="default" w:ascii="Times New Roman" w:hAnsi="Times New Roman" w:eastAsia="方正仿宋简体" w:cs="Times New Roman"/>
          <w:sz w:val="32"/>
          <w:szCs w:val="32"/>
        </w:rPr>
        <w:t>万人，在校生</w:t>
      </w:r>
      <w:r>
        <w:rPr>
          <w:rFonts w:hint="default" w:ascii="Times New Roman" w:hAnsi="Times New Roman" w:eastAsia="方正仿宋简体" w:cs="Times New Roman"/>
          <w:sz w:val="32"/>
          <w:szCs w:val="32"/>
          <w:lang w:val="en-US" w:eastAsia="zh-CN"/>
        </w:rPr>
        <w:t>106.32</w:t>
      </w:r>
      <w:r>
        <w:rPr>
          <w:rFonts w:hint="default" w:ascii="Times New Roman" w:hAnsi="Times New Roman" w:eastAsia="方正仿宋简体" w:cs="Times New Roman"/>
          <w:sz w:val="32"/>
          <w:szCs w:val="32"/>
        </w:rPr>
        <w:t>万人，毕业生</w:t>
      </w:r>
      <w:r>
        <w:rPr>
          <w:rFonts w:hint="default" w:ascii="Times New Roman" w:hAnsi="Times New Roman" w:eastAsia="方正仿宋简体" w:cs="Times New Roman"/>
          <w:sz w:val="32"/>
          <w:szCs w:val="32"/>
          <w:lang w:val="en-US" w:eastAsia="zh-CN"/>
        </w:rPr>
        <w:t>33.61</w:t>
      </w:r>
      <w:r>
        <w:rPr>
          <w:rFonts w:hint="default" w:ascii="Times New Roman" w:hAnsi="Times New Roman" w:eastAsia="方正仿宋简体" w:cs="Times New Roman"/>
          <w:sz w:val="32"/>
          <w:szCs w:val="32"/>
        </w:rPr>
        <w:t>万人。初中招生</w:t>
      </w:r>
      <w:r>
        <w:rPr>
          <w:rFonts w:hint="default" w:ascii="Times New Roman" w:hAnsi="Times New Roman" w:eastAsia="方正仿宋简体" w:cs="Times New Roman"/>
          <w:sz w:val="32"/>
          <w:szCs w:val="32"/>
          <w:lang w:val="en-US" w:eastAsia="zh-CN"/>
        </w:rPr>
        <w:t>62.60</w:t>
      </w:r>
      <w:r>
        <w:rPr>
          <w:rFonts w:hint="default" w:ascii="Times New Roman" w:hAnsi="Times New Roman" w:eastAsia="方正仿宋简体" w:cs="Times New Roman"/>
          <w:sz w:val="32"/>
          <w:szCs w:val="32"/>
        </w:rPr>
        <w:t>万人，在校生</w:t>
      </w:r>
      <w:r>
        <w:rPr>
          <w:rFonts w:hint="default" w:ascii="Times New Roman" w:hAnsi="Times New Roman" w:eastAsia="方正仿宋简体" w:cs="Times New Roman"/>
          <w:sz w:val="32"/>
          <w:szCs w:val="32"/>
          <w:lang w:val="en-US" w:eastAsia="zh-CN"/>
        </w:rPr>
        <w:t>188.66</w:t>
      </w:r>
      <w:r>
        <w:rPr>
          <w:rFonts w:hint="default" w:ascii="Times New Roman" w:hAnsi="Times New Roman" w:eastAsia="方正仿宋简体" w:cs="Times New Roman"/>
          <w:sz w:val="32"/>
          <w:szCs w:val="32"/>
        </w:rPr>
        <w:t>万人，毕业生</w:t>
      </w:r>
      <w:r>
        <w:rPr>
          <w:rFonts w:hint="default" w:ascii="Times New Roman" w:hAnsi="Times New Roman" w:eastAsia="方正仿宋简体" w:cs="Times New Roman"/>
          <w:sz w:val="32"/>
          <w:szCs w:val="32"/>
          <w:lang w:val="en-US" w:eastAsia="zh-CN"/>
        </w:rPr>
        <w:t>59.89</w:t>
      </w:r>
      <w:r>
        <w:rPr>
          <w:rFonts w:hint="default" w:ascii="Times New Roman" w:hAnsi="Times New Roman" w:eastAsia="方正仿宋简体" w:cs="Times New Roman"/>
          <w:sz w:val="32"/>
          <w:szCs w:val="32"/>
        </w:rPr>
        <w:t>万人。普通小学招生</w:t>
      </w:r>
      <w:r>
        <w:rPr>
          <w:rFonts w:hint="default" w:ascii="Times New Roman" w:hAnsi="Times New Roman" w:eastAsia="方正仿宋简体" w:cs="Times New Roman"/>
          <w:sz w:val="32"/>
          <w:szCs w:val="32"/>
          <w:lang w:val="en-US" w:eastAsia="zh-CN"/>
        </w:rPr>
        <w:t>70.18</w:t>
      </w:r>
      <w:r>
        <w:rPr>
          <w:rFonts w:hint="default" w:ascii="Times New Roman" w:hAnsi="Times New Roman" w:eastAsia="方正仿宋简体" w:cs="Times New Roman"/>
          <w:sz w:val="32"/>
          <w:szCs w:val="32"/>
        </w:rPr>
        <w:t>万人，在校生</w:t>
      </w:r>
      <w:r>
        <w:rPr>
          <w:rFonts w:hint="default" w:ascii="Times New Roman" w:hAnsi="Times New Roman" w:eastAsia="方正仿宋简体" w:cs="Times New Roman"/>
          <w:sz w:val="32"/>
          <w:szCs w:val="32"/>
          <w:lang w:val="en-US" w:eastAsia="zh-CN"/>
        </w:rPr>
        <w:t>386.46</w:t>
      </w:r>
      <w:r>
        <w:rPr>
          <w:rFonts w:hint="default" w:ascii="Times New Roman" w:hAnsi="Times New Roman" w:eastAsia="方正仿宋简体" w:cs="Times New Roman"/>
          <w:sz w:val="32"/>
          <w:szCs w:val="32"/>
        </w:rPr>
        <w:t>万人，毕业生</w:t>
      </w:r>
      <w:r>
        <w:rPr>
          <w:rFonts w:hint="default" w:ascii="Times New Roman" w:hAnsi="Times New Roman" w:eastAsia="方正仿宋简体" w:cs="Times New Roman"/>
          <w:sz w:val="32"/>
          <w:szCs w:val="32"/>
          <w:lang w:val="en-US" w:eastAsia="zh-CN"/>
        </w:rPr>
        <w:t>62.98</w:t>
      </w:r>
      <w:r>
        <w:rPr>
          <w:rFonts w:hint="default" w:ascii="Times New Roman" w:hAnsi="Times New Roman" w:eastAsia="方正仿宋简体" w:cs="Times New Roman"/>
          <w:sz w:val="32"/>
          <w:szCs w:val="32"/>
        </w:rPr>
        <w:t>万人。学前教育在园（班）幼儿</w:t>
      </w:r>
      <w:r>
        <w:rPr>
          <w:rFonts w:hint="default" w:ascii="Times New Roman" w:hAnsi="Times New Roman" w:eastAsia="方正仿宋简体" w:cs="Times New Roman"/>
          <w:sz w:val="32"/>
          <w:szCs w:val="32"/>
          <w:lang w:val="en-US" w:eastAsia="zh-CN"/>
        </w:rPr>
        <w:t>168.02</w:t>
      </w:r>
      <w:r>
        <w:rPr>
          <w:rFonts w:hint="default" w:ascii="Times New Roman" w:hAnsi="Times New Roman" w:eastAsia="方正仿宋简体" w:cs="Times New Roman"/>
          <w:sz w:val="32"/>
          <w:szCs w:val="32"/>
        </w:rPr>
        <w:t>万人。小学学龄儿童入学率</w:t>
      </w:r>
      <w:r>
        <w:rPr>
          <w:rFonts w:hint="default" w:ascii="Times New Roman" w:hAnsi="Times New Roman" w:eastAsia="方正仿宋简体" w:cs="Times New Roman"/>
          <w:sz w:val="32"/>
          <w:szCs w:val="32"/>
          <w:lang w:val="en-US" w:eastAsia="zh-CN"/>
        </w:rPr>
        <w:t>99.</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%，小学毕业生升学率</w:t>
      </w:r>
      <w:r>
        <w:rPr>
          <w:rFonts w:hint="default" w:ascii="Times New Roman" w:hAnsi="Times New Roman" w:eastAsia="方正仿宋简体" w:cs="Times New Roman"/>
          <w:sz w:val="32"/>
          <w:szCs w:val="32"/>
          <w:lang w:val="en-US" w:eastAsia="zh-CN"/>
        </w:rPr>
        <w:t>99.</w:t>
      </w: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%。高等教育毛入学率</w:t>
      </w:r>
      <w:r>
        <w:rPr>
          <w:rFonts w:hint="default" w:ascii="Times New Roman" w:hAnsi="Times New Roman" w:eastAsia="方正仿宋简体" w:cs="Times New Roman"/>
          <w:sz w:val="32"/>
          <w:szCs w:val="32"/>
          <w:lang w:val="en-US" w:eastAsia="zh-CN"/>
        </w:rPr>
        <w:t>57.4</w:t>
      </w:r>
      <w:r>
        <w:rPr>
          <w:rFonts w:hint="default" w:ascii="Times New Roman" w:hAnsi="Times New Roman" w:eastAsia="方正仿宋简体" w:cs="Times New Roman"/>
          <w:sz w:val="32"/>
          <w:szCs w:val="32"/>
        </w:rPr>
        <w:t>%，高中阶段教育毛入学率</w:t>
      </w:r>
      <w:r>
        <w:rPr>
          <w:rFonts w:hint="default" w:ascii="Times New Roman" w:hAnsi="Times New Roman" w:eastAsia="方正仿宋简体" w:cs="Times New Roman"/>
          <w:sz w:val="32"/>
          <w:szCs w:val="32"/>
          <w:lang w:val="en-US" w:eastAsia="zh-CN"/>
        </w:rPr>
        <w:t>92.4</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九年义务教育巩固率</w:t>
      </w:r>
      <w:r>
        <w:rPr>
          <w:rFonts w:hint="default" w:ascii="Times New Roman" w:hAnsi="Times New Roman" w:eastAsia="方正仿宋简体" w:cs="Times New Roman"/>
          <w:sz w:val="32"/>
          <w:szCs w:val="32"/>
          <w:lang w:val="en-US" w:eastAsia="zh-CN"/>
        </w:rPr>
        <w:t>97.6</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学前三年毛入园率93.</w:t>
      </w: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年末共有国家批准组建的工程技术研究中心</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个、国家</w:t>
      </w:r>
      <w:r>
        <w:rPr>
          <w:rFonts w:hint="default" w:ascii="Times New Roman" w:hAnsi="Times New Roman" w:eastAsia="方正仿宋简体" w:cs="Times New Roman"/>
          <w:sz w:val="32"/>
          <w:szCs w:val="32"/>
          <w:lang w:eastAsia="zh-CN"/>
        </w:rPr>
        <w:t>级</w:t>
      </w:r>
      <w:r>
        <w:rPr>
          <w:rFonts w:hint="default" w:ascii="Times New Roman" w:hAnsi="Times New Roman" w:eastAsia="方正仿宋简体" w:cs="Times New Roman"/>
          <w:sz w:val="32"/>
          <w:szCs w:val="32"/>
        </w:rPr>
        <w:t>重点实验室</w:t>
      </w:r>
      <w:r>
        <w:rPr>
          <w:rFonts w:hint="default"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个</w:t>
      </w:r>
      <w:r>
        <w:rPr>
          <w:rFonts w:hint="default" w:ascii="Times New Roman" w:hAnsi="Times New Roman" w:eastAsia="方正仿宋简体" w:cs="Times New Roman"/>
          <w:sz w:val="32"/>
          <w:szCs w:val="32"/>
          <w:lang w:eastAsia="zh-CN"/>
        </w:rPr>
        <w:t>，省级技术研究中心</w:t>
      </w:r>
      <w:r>
        <w:rPr>
          <w:rFonts w:hint="default" w:ascii="Times New Roman" w:hAnsi="Times New Roman" w:eastAsia="方正仿宋简体" w:cs="Times New Roman"/>
          <w:sz w:val="32"/>
          <w:szCs w:val="32"/>
          <w:lang w:val="en-US" w:eastAsia="zh-CN"/>
        </w:rPr>
        <w:t>123个、</w:t>
      </w:r>
      <w:r>
        <w:rPr>
          <w:rFonts w:hint="default" w:ascii="Times New Roman" w:hAnsi="Times New Roman" w:eastAsia="方正仿宋简体" w:cs="Times New Roman"/>
          <w:sz w:val="32"/>
          <w:szCs w:val="32"/>
        </w:rPr>
        <w:t>省重点实验室</w:t>
      </w:r>
      <w:r>
        <w:rPr>
          <w:rFonts w:hint="default" w:ascii="Times New Roman" w:hAnsi="Times New Roman" w:eastAsia="方正仿宋简体" w:cs="Times New Roman"/>
          <w:sz w:val="32"/>
          <w:szCs w:val="32"/>
          <w:lang w:val="en-US" w:eastAsia="zh-CN"/>
        </w:rPr>
        <w:t>138</w:t>
      </w:r>
      <w:r>
        <w:rPr>
          <w:rFonts w:hint="default" w:ascii="Times New Roman" w:hAnsi="Times New Roman" w:eastAsia="方正仿宋简体" w:cs="Times New Roman"/>
          <w:sz w:val="32"/>
          <w:szCs w:val="32"/>
        </w:rPr>
        <w:t>个。已建立国家级高新技术产业开发区</w:t>
      </w: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个，省级高新技术产业开发区</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个。</w:t>
      </w:r>
      <w:r>
        <w:rPr>
          <w:rFonts w:hint="eastAsia" w:ascii="Times New Roman" w:hAnsi="Times New Roman" w:eastAsia="方正仿宋简体" w:cs="Times New Roman"/>
          <w:sz w:val="32"/>
          <w:szCs w:val="32"/>
          <w:lang w:eastAsia="zh-CN"/>
        </w:rPr>
        <w:t>全年获专利授权</w:t>
      </w:r>
      <w:r>
        <w:rPr>
          <w:rFonts w:hint="eastAsia" w:ascii="Times New Roman" w:hAnsi="Times New Roman" w:eastAsia="方正仿宋简体" w:cs="Times New Roman"/>
          <w:sz w:val="32"/>
          <w:szCs w:val="32"/>
          <w:lang w:val="en-US" w:eastAsia="zh-CN"/>
        </w:rPr>
        <w:t>32718件；</w:t>
      </w:r>
      <w:r>
        <w:rPr>
          <w:rFonts w:hint="default" w:ascii="Times New Roman" w:hAnsi="Times New Roman" w:eastAsia="方正仿宋简体" w:cs="Times New Roman"/>
          <w:sz w:val="32"/>
          <w:szCs w:val="32"/>
        </w:rPr>
        <w:t>认定登记技术合同</w:t>
      </w:r>
      <w:r>
        <w:rPr>
          <w:rFonts w:hint="default" w:ascii="Times New Roman" w:hAnsi="Times New Roman" w:eastAsia="方正仿宋简体" w:cs="Times New Roman"/>
          <w:sz w:val="32"/>
          <w:szCs w:val="32"/>
          <w:lang w:val="en-US" w:eastAsia="zh-CN"/>
        </w:rPr>
        <w:t>14179</w:t>
      </w:r>
      <w:r>
        <w:rPr>
          <w:rFonts w:hint="default" w:ascii="Times New Roman" w:hAnsi="Times New Roman" w:eastAsia="方正仿宋简体" w:cs="Times New Roman"/>
          <w:sz w:val="32"/>
          <w:szCs w:val="32"/>
        </w:rPr>
        <w:t>项，成交额</w:t>
      </w:r>
      <w:r>
        <w:rPr>
          <w:rFonts w:hint="default" w:ascii="Times New Roman" w:hAnsi="Times New Roman" w:eastAsia="方正仿宋简体" w:cs="Times New Roman"/>
          <w:sz w:val="32"/>
          <w:szCs w:val="32"/>
          <w:lang w:val="en-US" w:eastAsia="zh-CN"/>
        </w:rPr>
        <w:t>269.36</w:t>
      </w:r>
      <w:r>
        <w:rPr>
          <w:rFonts w:hint="default" w:ascii="Times New Roman" w:hAnsi="Times New Roman" w:eastAsia="方正仿宋简体" w:cs="Times New Roman"/>
          <w:sz w:val="32"/>
          <w:szCs w:val="32"/>
        </w:rPr>
        <w:t>亿元。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十一、文化、卫生和体育</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年末全省共有各种艺术表演团体</w:t>
      </w:r>
      <w:r>
        <w:rPr>
          <w:rStyle w:val="14"/>
          <w:rFonts w:hint="default" w:ascii="Times New Roman" w:hAnsi="Times New Roman" w:eastAsia="方正仿宋简体" w:cs="Times New Roman"/>
          <w:sz w:val="32"/>
          <w:szCs w:val="32"/>
        </w:rPr>
        <w:t>[</w:t>
      </w:r>
      <w:r>
        <w:rPr>
          <w:rStyle w:val="14"/>
          <w:rFonts w:hint="default" w:ascii="Times New Roman" w:hAnsi="Times New Roman" w:eastAsia="方正仿宋简体" w:cs="Times New Roman"/>
          <w:sz w:val="32"/>
          <w:szCs w:val="32"/>
        </w:rPr>
        <w:endnoteReference w:id="16"/>
      </w:r>
      <w:r>
        <w:rPr>
          <w:rStyle w:val="14"/>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103</w:t>
      </w:r>
      <w:r>
        <w:rPr>
          <w:rFonts w:hint="default" w:ascii="Times New Roman" w:hAnsi="Times New Roman" w:eastAsia="方正仿宋简体" w:cs="Times New Roman"/>
          <w:sz w:val="32"/>
          <w:szCs w:val="32"/>
        </w:rPr>
        <w:t>个，文化馆</w:t>
      </w:r>
      <w:r>
        <w:rPr>
          <w:rFonts w:hint="default" w:ascii="Times New Roman" w:hAnsi="Times New Roman" w:eastAsia="方正仿宋简体" w:cs="Times New Roman"/>
          <w:sz w:val="32"/>
          <w:szCs w:val="32"/>
          <w:lang w:val="en-US" w:eastAsia="zh-CN"/>
        </w:rPr>
        <w:t>149</w:t>
      </w:r>
      <w:r>
        <w:rPr>
          <w:rFonts w:hint="default" w:ascii="Times New Roman" w:hAnsi="Times New Roman" w:eastAsia="方正仿宋简体" w:cs="Times New Roman"/>
          <w:sz w:val="32"/>
          <w:szCs w:val="32"/>
        </w:rPr>
        <w:t>个，公共图书馆</w:t>
      </w:r>
      <w:r>
        <w:rPr>
          <w:rFonts w:hint="default" w:ascii="Times New Roman" w:hAnsi="Times New Roman" w:eastAsia="方正仿宋简体" w:cs="Times New Roman"/>
          <w:sz w:val="32"/>
          <w:szCs w:val="32"/>
          <w:lang w:val="en-US" w:eastAsia="zh-CN"/>
        </w:rPr>
        <w:t>151</w:t>
      </w:r>
      <w:r>
        <w:rPr>
          <w:rFonts w:hint="default" w:ascii="Times New Roman" w:hAnsi="Times New Roman" w:eastAsia="方正仿宋简体" w:cs="Times New Roman"/>
          <w:sz w:val="32"/>
          <w:szCs w:val="32"/>
        </w:rPr>
        <w:t>个，博物馆</w:t>
      </w:r>
      <w:r>
        <w:rPr>
          <w:rFonts w:hint="default" w:ascii="Times New Roman" w:hAnsi="Times New Roman" w:eastAsia="方正仿宋简体" w:cs="Times New Roman"/>
          <w:sz w:val="32"/>
          <w:szCs w:val="32"/>
          <w:lang w:val="en-US" w:eastAsia="zh-CN"/>
        </w:rPr>
        <w:t>186</w:t>
      </w:r>
      <w:r>
        <w:rPr>
          <w:rFonts w:hint="default" w:ascii="Times New Roman" w:hAnsi="Times New Roman" w:eastAsia="方正仿宋简体" w:cs="Times New Roman"/>
          <w:sz w:val="32"/>
          <w:szCs w:val="32"/>
        </w:rPr>
        <w:t>个。全省广播、电视人口覆盖率分别达到</w:t>
      </w:r>
      <w:r>
        <w:rPr>
          <w:rFonts w:hint="default" w:ascii="Times New Roman" w:hAnsi="Times New Roman" w:eastAsia="方正仿宋简体" w:cs="Times New Roman"/>
          <w:sz w:val="32"/>
          <w:szCs w:val="32"/>
          <w:lang w:val="en-US" w:eastAsia="zh-CN"/>
        </w:rPr>
        <w:t>99.68</w:t>
      </w:r>
      <w:r>
        <w:rPr>
          <w:rFonts w:hint="default" w:ascii="Times New Roman" w:hAnsi="Times New Roman" w:eastAsia="方正仿宋简体" w:cs="Times New Roman"/>
          <w:sz w:val="32"/>
          <w:szCs w:val="32"/>
        </w:rPr>
        <w:t>%和</w:t>
      </w:r>
      <w:r>
        <w:rPr>
          <w:rFonts w:hint="default" w:ascii="Times New Roman" w:hAnsi="Times New Roman" w:eastAsia="方正仿宋简体" w:cs="Times New Roman"/>
          <w:sz w:val="32"/>
          <w:szCs w:val="32"/>
          <w:lang w:val="en-US" w:eastAsia="zh-CN"/>
        </w:rPr>
        <w:t>99.70</w:t>
      </w:r>
      <w:r>
        <w:rPr>
          <w:rFonts w:hint="default" w:ascii="Times New Roman" w:hAnsi="Times New Roman" w:eastAsia="方正仿宋简体" w:cs="Times New Roman"/>
          <w:sz w:val="32"/>
          <w:szCs w:val="32"/>
        </w:rPr>
        <w:t>%。中、短波转播发射台</w:t>
      </w:r>
      <w:r>
        <w:rPr>
          <w:rFonts w:hint="default" w:ascii="Times New Roman" w:hAnsi="Times New Roman" w:eastAsia="方正仿宋简体" w:cs="Times New Roman"/>
          <w:sz w:val="32"/>
          <w:szCs w:val="32"/>
          <w:lang w:val="en-US" w:eastAsia="zh-CN"/>
        </w:rPr>
        <w:t>48</w:t>
      </w:r>
      <w:r>
        <w:rPr>
          <w:rFonts w:hint="default" w:ascii="Times New Roman" w:hAnsi="Times New Roman" w:eastAsia="方正仿宋简体" w:cs="Times New Roman"/>
          <w:sz w:val="32"/>
          <w:szCs w:val="32"/>
        </w:rPr>
        <w:t>座，广播电视播出机构</w:t>
      </w:r>
      <w:r>
        <w:rPr>
          <w:rFonts w:hint="default" w:ascii="Times New Roman" w:hAnsi="Times New Roman" w:eastAsia="方正仿宋简体" w:cs="Times New Roman"/>
          <w:sz w:val="32"/>
          <w:szCs w:val="32"/>
          <w:lang w:val="en-US" w:eastAsia="zh-CN"/>
        </w:rPr>
        <w:t>137</w:t>
      </w:r>
      <w:r>
        <w:rPr>
          <w:rFonts w:hint="default" w:ascii="Times New Roman" w:hAnsi="Times New Roman" w:eastAsia="方正仿宋简体" w:cs="Times New Roman"/>
          <w:sz w:val="32"/>
          <w:szCs w:val="32"/>
        </w:rPr>
        <w:t>家。</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年末全省共有医疗卫生机构</w:t>
      </w:r>
      <w:r>
        <w:rPr>
          <w:rFonts w:hint="default" w:ascii="Times New Roman" w:hAnsi="Times New Roman" w:eastAsia="方正仿宋简体" w:cs="Times New Roman"/>
          <w:sz w:val="32"/>
          <w:szCs w:val="32"/>
          <w:lang w:val="en-US" w:eastAsia="zh-CN"/>
        </w:rPr>
        <w:t>28765</w:t>
      </w:r>
      <w:r>
        <w:rPr>
          <w:rFonts w:hint="default" w:ascii="Times New Roman" w:hAnsi="Times New Roman" w:eastAsia="方正仿宋简体" w:cs="Times New Roman"/>
          <w:sz w:val="32"/>
          <w:szCs w:val="32"/>
        </w:rPr>
        <w:t>个，其中，医院</w:t>
      </w:r>
      <w:r>
        <w:rPr>
          <w:rFonts w:hint="default" w:ascii="Times New Roman" w:hAnsi="Times New Roman" w:eastAsia="方正仿宋简体" w:cs="Times New Roman"/>
          <w:sz w:val="32"/>
          <w:szCs w:val="32"/>
          <w:lang w:val="en-US" w:eastAsia="zh-CN"/>
        </w:rPr>
        <w:t>1409</w:t>
      </w:r>
      <w:r>
        <w:rPr>
          <w:rFonts w:hint="default" w:ascii="Times New Roman" w:hAnsi="Times New Roman" w:eastAsia="方正仿宋简体" w:cs="Times New Roman"/>
          <w:sz w:val="32"/>
          <w:szCs w:val="32"/>
        </w:rPr>
        <w:t>个，在医院中有公立医院</w:t>
      </w:r>
      <w:r>
        <w:rPr>
          <w:rFonts w:hint="default" w:ascii="Times New Roman" w:hAnsi="Times New Roman" w:eastAsia="方正仿宋简体" w:cs="Times New Roman"/>
          <w:sz w:val="32"/>
          <w:szCs w:val="32"/>
          <w:lang w:val="en-US" w:eastAsia="zh-CN"/>
        </w:rPr>
        <w:t>449</w:t>
      </w:r>
      <w:r>
        <w:rPr>
          <w:rFonts w:hint="default" w:ascii="Times New Roman" w:hAnsi="Times New Roman" w:eastAsia="方正仿宋简体" w:cs="Times New Roman"/>
          <w:sz w:val="32"/>
          <w:szCs w:val="32"/>
        </w:rPr>
        <w:t>个，民营医院</w:t>
      </w:r>
      <w:r>
        <w:rPr>
          <w:rFonts w:hint="default" w:ascii="Times New Roman" w:hAnsi="Times New Roman" w:eastAsia="方正仿宋简体" w:cs="Times New Roman"/>
          <w:sz w:val="32"/>
          <w:szCs w:val="32"/>
          <w:lang w:val="en-US" w:eastAsia="zh-CN"/>
        </w:rPr>
        <w:t>960</w:t>
      </w:r>
      <w:r>
        <w:rPr>
          <w:rFonts w:hint="default" w:ascii="Times New Roman" w:hAnsi="Times New Roman" w:eastAsia="方正仿宋简体" w:cs="Times New Roman"/>
          <w:sz w:val="32"/>
          <w:szCs w:val="32"/>
        </w:rPr>
        <w:t>个；医疗卫生机构拥有床位数</w:t>
      </w:r>
      <w:r>
        <w:rPr>
          <w:rFonts w:hint="default" w:ascii="Times New Roman" w:hAnsi="Times New Roman" w:eastAsia="方正仿宋简体" w:cs="Times New Roman"/>
          <w:sz w:val="32"/>
          <w:szCs w:val="32"/>
          <w:lang w:val="en-US" w:eastAsia="zh-CN"/>
        </w:rPr>
        <w:t>35.99</w:t>
      </w:r>
      <w:r>
        <w:rPr>
          <w:rFonts w:hint="default" w:ascii="Times New Roman" w:hAnsi="Times New Roman" w:eastAsia="方正仿宋简体" w:cs="Times New Roman"/>
          <w:sz w:val="32"/>
          <w:szCs w:val="32"/>
        </w:rPr>
        <w:t>万张，卫生技术人员</w:t>
      </w:r>
      <w:r>
        <w:rPr>
          <w:rFonts w:hint="default" w:ascii="Times New Roman" w:hAnsi="Times New Roman" w:eastAsia="方正仿宋简体" w:cs="Times New Roman"/>
          <w:sz w:val="32"/>
          <w:szCs w:val="32"/>
          <w:lang w:val="en-US" w:eastAsia="zh-CN"/>
        </w:rPr>
        <w:t>42.52</w:t>
      </w:r>
      <w:r>
        <w:rPr>
          <w:rFonts w:hint="default" w:ascii="Times New Roman" w:hAnsi="Times New Roman" w:eastAsia="方正仿宋简体" w:cs="Times New Roman"/>
          <w:sz w:val="32"/>
          <w:szCs w:val="32"/>
        </w:rPr>
        <w:t>万人，其中执业（助理）医师</w:t>
      </w:r>
      <w:r>
        <w:rPr>
          <w:rFonts w:hint="default" w:ascii="Times New Roman" w:hAnsi="Times New Roman" w:eastAsia="方正仿宋简体" w:cs="Times New Roman"/>
          <w:sz w:val="32"/>
          <w:szCs w:val="32"/>
          <w:lang w:val="en-US" w:eastAsia="zh-CN"/>
        </w:rPr>
        <w:t>14.67</w:t>
      </w:r>
      <w:r>
        <w:rPr>
          <w:rFonts w:hint="default" w:ascii="Times New Roman" w:hAnsi="Times New Roman" w:eastAsia="方正仿宋简体" w:cs="Times New Roman"/>
          <w:sz w:val="32"/>
          <w:szCs w:val="32"/>
        </w:rPr>
        <w:t>万人。疾病预防控制中心</w:t>
      </w:r>
      <w:r>
        <w:rPr>
          <w:rFonts w:hint="default" w:ascii="Times New Roman" w:hAnsi="Times New Roman" w:eastAsia="方正仿宋简体" w:cs="Times New Roman"/>
          <w:sz w:val="32"/>
          <w:szCs w:val="32"/>
          <w:lang w:val="en-US" w:eastAsia="zh-CN"/>
        </w:rPr>
        <w:t>149</w:t>
      </w:r>
      <w:r>
        <w:rPr>
          <w:rFonts w:hint="default" w:ascii="Times New Roman" w:hAnsi="Times New Roman" w:eastAsia="方正仿宋简体" w:cs="Times New Roman"/>
          <w:sz w:val="32"/>
          <w:szCs w:val="32"/>
        </w:rPr>
        <w:t>个，卫生技术人员</w:t>
      </w:r>
      <w:r>
        <w:rPr>
          <w:rFonts w:hint="default" w:ascii="Times New Roman" w:hAnsi="Times New Roman" w:eastAsia="方正仿宋简体" w:cs="Times New Roman"/>
          <w:sz w:val="32"/>
          <w:szCs w:val="32"/>
          <w:lang w:val="en-US" w:eastAsia="zh-CN"/>
        </w:rPr>
        <w:t>0.84</w:t>
      </w:r>
      <w:r>
        <w:rPr>
          <w:rFonts w:hint="default" w:ascii="Times New Roman" w:hAnsi="Times New Roman" w:eastAsia="方正仿宋简体" w:cs="Times New Roman"/>
          <w:sz w:val="32"/>
          <w:szCs w:val="32"/>
        </w:rPr>
        <w:t>万人；专科疾病防治院（所、站）</w:t>
      </w:r>
      <w:r>
        <w:rPr>
          <w:rFonts w:hint="default" w:ascii="Times New Roman" w:hAnsi="Times New Roman" w:eastAsia="方正仿宋简体" w:cs="Times New Roman"/>
          <w:sz w:val="32"/>
          <w:szCs w:val="32"/>
          <w:lang w:val="en-US" w:eastAsia="zh-CN"/>
        </w:rPr>
        <w:t>25</w:t>
      </w:r>
      <w:r>
        <w:rPr>
          <w:rFonts w:hint="default" w:ascii="Times New Roman" w:hAnsi="Times New Roman" w:eastAsia="方正仿宋简体" w:cs="Times New Roman"/>
          <w:sz w:val="32"/>
          <w:szCs w:val="32"/>
        </w:rPr>
        <w:t>个，卫生技术人员</w:t>
      </w:r>
      <w:r>
        <w:rPr>
          <w:rFonts w:hint="default" w:ascii="Times New Roman" w:hAnsi="Times New Roman" w:eastAsia="方正仿宋简体" w:cs="Times New Roman"/>
          <w:sz w:val="32"/>
          <w:szCs w:val="32"/>
          <w:lang w:val="en-US" w:eastAsia="zh-CN"/>
        </w:rPr>
        <w:t>890</w:t>
      </w:r>
      <w:r>
        <w:rPr>
          <w:rFonts w:hint="default" w:ascii="Times New Roman" w:hAnsi="Times New Roman" w:eastAsia="方正仿宋简体" w:cs="Times New Roman"/>
          <w:sz w:val="32"/>
          <w:szCs w:val="32"/>
        </w:rPr>
        <w:t>人；妇幼保健院（所、站）</w:t>
      </w:r>
      <w:r>
        <w:rPr>
          <w:rFonts w:hint="default" w:ascii="Times New Roman" w:hAnsi="Times New Roman" w:eastAsia="方正仿宋简体" w:cs="Times New Roman"/>
          <w:sz w:val="32"/>
          <w:szCs w:val="32"/>
          <w:lang w:val="en-US" w:eastAsia="zh-CN"/>
        </w:rPr>
        <w:t>147</w:t>
      </w:r>
      <w:r>
        <w:rPr>
          <w:rFonts w:hint="default" w:ascii="Times New Roman" w:hAnsi="Times New Roman" w:eastAsia="方正仿宋简体" w:cs="Times New Roman"/>
          <w:sz w:val="32"/>
          <w:szCs w:val="32"/>
        </w:rPr>
        <w:t>个，卫生技术人员</w:t>
      </w:r>
      <w:r>
        <w:rPr>
          <w:rFonts w:hint="default" w:ascii="Times New Roman" w:hAnsi="Times New Roman" w:eastAsia="方正仿宋简体" w:cs="Times New Roman"/>
          <w:sz w:val="32"/>
          <w:szCs w:val="32"/>
          <w:lang w:val="en-US" w:eastAsia="zh-CN"/>
        </w:rPr>
        <w:t>2.12</w:t>
      </w:r>
      <w:r>
        <w:rPr>
          <w:rFonts w:hint="default" w:ascii="Times New Roman" w:hAnsi="Times New Roman" w:eastAsia="方正仿宋简体" w:cs="Times New Roman"/>
          <w:sz w:val="32"/>
          <w:szCs w:val="32"/>
        </w:rPr>
        <w:t>万人。乡镇卫生院</w:t>
      </w:r>
      <w:r>
        <w:rPr>
          <w:rFonts w:hint="default" w:ascii="Times New Roman" w:hAnsi="Times New Roman" w:eastAsia="方正仿宋简体" w:cs="Times New Roman"/>
          <w:sz w:val="32"/>
          <w:szCs w:val="32"/>
          <w:lang w:val="en-US" w:eastAsia="zh-CN"/>
        </w:rPr>
        <w:t>1361</w:t>
      </w:r>
      <w:r>
        <w:rPr>
          <w:rFonts w:hint="default" w:ascii="Times New Roman" w:hAnsi="Times New Roman" w:eastAsia="方正仿宋简体" w:cs="Times New Roman"/>
          <w:sz w:val="32"/>
          <w:szCs w:val="32"/>
        </w:rPr>
        <w:t>个</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床位</w:t>
      </w:r>
      <w:r>
        <w:rPr>
          <w:rFonts w:hint="default" w:ascii="Times New Roman" w:hAnsi="Times New Roman" w:eastAsia="方正仿宋简体" w:cs="Times New Roman"/>
          <w:sz w:val="32"/>
          <w:szCs w:val="32"/>
          <w:lang w:val="en-US" w:eastAsia="zh-CN"/>
        </w:rPr>
        <w:t>6.34</w:t>
      </w:r>
      <w:r>
        <w:rPr>
          <w:rFonts w:hint="default" w:ascii="Times New Roman" w:hAnsi="Times New Roman" w:eastAsia="方正仿宋简体" w:cs="Times New Roman"/>
          <w:sz w:val="32"/>
          <w:szCs w:val="32"/>
        </w:rPr>
        <w:t>万张，卫生技术人员</w:t>
      </w:r>
      <w:r>
        <w:rPr>
          <w:rFonts w:hint="default" w:ascii="Times New Roman" w:hAnsi="Times New Roman" w:eastAsia="方正仿宋简体" w:cs="Times New Roman"/>
          <w:sz w:val="32"/>
          <w:szCs w:val="32"/>
          <w:lang w:val="en-US" w:eastAsia="zh-CN"/>
        </w:rPr>
        <w:t>6.31</w:t>
      </w:r>
      <w:r>
        <w:rPr>
          <w:rFonts w:hint="default" w:ascii="Times New Roman" w:hAnsi="Times New Roman" w:eastAsia="方正仿宋简体" w:cs="Times New Roman"/>
          <w:sz w:val="32"/>
          <w:szCs w:val="32"/>
        </w:rPr>
        <w:t>万人。全年总诊疗人次</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17"/>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sz w:val="32"/>
          <w:szCs w:val="32"/>
          <w:lang w:val="en-US" w:eastAsia="zh-CN"/>
        </w:rPr>
        <w:t>31762.11</w:t>
      </w:r>
      <w:r>
        <w:rPr>
          <w:rFonts w:hint="default" w:ascii="Times New Roman" w:hAnsi="Times New Roman" w:eastAsia="方正仿宋简体" w:cs="Times New Roman"/>
          <w:sz w:val="32"/>
          <w:szCs w:val="32"/>
        </w:rPr>
        <w:t>万人次，出院人数</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18"/>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sz w:val="32"/>
          <w:szCs w:val="32"/>
          <w:lang w:val="en-US" w:eastAsia="zh-CN"/>
        </w:rPr>
        <w:t>1158.15</w:t>
      </w:r>
      <w:r>
        <w:rPr>
          <w:rFonts w:hint="default" w:ascii="Times New Roman" w:hAnsi="Times New Roman" w:eastAsia="方正仿宋简体" w:cs="Times New Roman"/>
          <w:sz w:val="32"/>
          <w:szCs w:val="32"/>
        </w:rPr>
        <w:t>万人。</w:t>
      </w:r>
    </w:p>
    <w:p>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全年云南运动员在国际比赛中获金、银、铜牌</w:t>
      </w:r>
      <w:r>
        <w:rPr>
          <w:rFonts w:hint="default" w:ascii="Times New Roman" w:hAnsi="Times New Roman" w:eastAsia="方正仿宋简体" w:cs="Times New Roman"/>
          <w:sz w:val="32"/>
          <w:szCs w:val="32"/>
          <w:lang w:val="en-US" w:eastAsia="zh-CN"/>
        </w:rPr>
        <w:t>38</w:t>
      </w:r>
      <w:r>
        <w:rPr>
          <w:rFonts w:hint="default" w:ascii="Times New Roman" w:hAnsi="Times New Roman" w:eastAsia="方正仿宋简体" w:cs="Times New Roman"/>
          <w:sz w:val="32"/>
          <w:szCs w:val="32"/>
        </w:rPr>
        <w:t>枚；在全国比赛中获金、银、铜牌</w:t>
      </w:r>
      <w:r>
        <w:rPr>
          <w:rFonts w:hint="default" w:ascii="Times New Roman" w:hAnsi="Times New Roman" w:eastAsia="方正仿宋简体" w:cs="Times New Roman"/>
          <w:sz w:val="32"/>
          <w:szCs w:val="32"/>
          <w:lang w:val="en-US" w:eastAsia="zh-CN"/>
        </w:rPr>
        <w:t>450</w:t>
      </w:r>
      <w:r>
        <w:rPr>
          <w:rFonts w:hint="default" w:ascii="Times New Roman" w:hAnsi="Times New Roman" w:eastAsia="方正仿宋简体" w:cs="Times New Roman"/>
          <w:sz w:val="32"/>
          <w:szCs w:val="32"/>
        </w:rPr>
        <w:t>枚。全年销售体育彩票</w:t>
      </w:r>
      <w:r>
        <w:rPr>
          <w:rFonts w:hint="default" w:ascii="Times New Roman" w:hAnsi="Times New Roman" w:eastAsia="方正仿宋简体" w:cs="Times New Roman"/>
          <w:sz w:val="32"/>
          <w:szCs w:val="32"/>
          <w:lang w:val="en-US" w:eastAsia="zh-CN"/>
        </w:rPr>
        <w:t>140.74</w:t>
      </w:r>
      <w:r>
        <w:rPr>
          <w:rFonts w:hint="default" w:ascii="Times New Roman" w:hAnsi="Times New Roman" w:eastAsia="方正仿宋简体" w:cs="Times New Roman"/>
          <w:sz w:val="32"/>
          <w:szCs w:val="32"/>
        </w:rPr>
        <w:t>亿元。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bCs/>
          <w:sz w:val="32"/>
          <w:szCs w:val="32"/>
          <w:highlight w:val="yellow"/>
        </w:rPr>
      </w:pPr>
      <w:r>
        <w:rPr>
          <w:rFonts w:hint="default" w:ascii="Times New Roman" w:hAnsi="Times New Roman" w:eastAsia="黑体" w:cs="Times New Roman"/>
          <w:sz w:val="32"/>
          <w:szCs w:val="32"/>
        </w:rPr>
        <w:t>十二、资源、环境和应急管理</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规模以上工业主要能源消费量中，焦炭消费量952.00万吨，比上年下降3.4%；天然气消费量26.04亿立方米，增长9.5%；电力消费量1709.78亿千瓦时，增长5.7%。规模以上单位工业增加值能耗下降0.3%。</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全年水资源总量1502亿立方米。全年平均降水量</w:t>
      </w:r>
      <w:r>
        <w:rPr>
          <w:rFonts w:hint="default" w:ascii="Times New Roman" w:hAnsi="Times New Roman" w:eastAsia="方正仿宋简体" w:cs="Times New Roman"/>
          <w:sz w:val="32"/>
          <w:szCs w:val="32"/>
          <w:lang w:val="en-US" w:eastAsia="zh-CN"/>
        </w:rPr>
        <w:t>887.2</w:t>
      </w:r>
      <w:r>
        <w:rPr>
          <w:rFonts w:hint="default" w:ascii="Times New Roman" w:hAnsi="Times New Roman" w:eastAsia="方正仿宋简体" w:cs="Times New Roman"/>
          <w:sz w:val="32"/>
          <w:szCs w:val="32"/>
        </w:rPr>
        <w:t>毫米。年末全省水利工程蓄水总量89.18亿立方米（大、中、小型水库及坝塘），比上年减少1.57亿立方米。全年新增水土流失治理面积5724.17平方千米。</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全年全省完成人工造林120.34万亩，封山育林135.93万亩，退化林修复162.53万亩，森林抚育96.97万亩。</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重点区域生态保护和修复工程：人工造林34.14万亩，封山育林130.13万亩；退化林修复63.69万亩。</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年末城市污水处理厂日处理能力达</w:t>
      </w:r>
      <w:r>
        <w:rPr>
          <w:rFonts w:hint="default" w:ascii="Times New Roman" w:hAnsi="Times New Roman" w:eastAsia="方正仿宋简体" w:cs="Times New Roman"/>
          <w:sz w:val="32"/>
          <w:szCs w:val="32"/>
          <w:lang w:val="en-US" w:eastAsia="zh-CN"/>
        </w:rPr>
        <w:t>559.5</w:t>
      </w:r>
      <w:r>
        <w:rPr>
          <w:rFonts w:hint="default" w:ascii="Times New Roman" w:hAnsi="Times New Roman" w:eastAsia="方正仿宋简体" w:cs="Times New Roman"/>
          <w:sz w:val="32"/>
          <w:szCs w:val="32"/>
        </w:rPr>
        <w:t>万立方米，比上年末</w:t>
      </w:r>
      <w:r>
        <w:rPr>
          <w:rFonts w:hint="default" w:ascii="Times New Roman" w:hAnsi="Times New Roman" w:eastAsia="方正仿宋简体" w:cs="Times New Roman"/>
          <w:sz w:val="32"/>
          <w:szCs w:val="32"/>
          <w:lang w:eastAsia="zh-CN"/>
        </w:rPr>
        <w:t>提高</w:t>
      </w:r>
      <w:r>
        <w:rPr>
          <w:rFonts w:hint="default" w:ascii="Times New Roman" w:hAnsi="Times New Roman" w:eastAsia="方正仿宋简体" w:cs="Times New Roman"/>
          <w:sz w:val="32"/>
          <w:szCs w:val="32"/>
          <w:lang w:val="en-US" w:eastAsia="zh-CN"/>
        </w:rPr>
        <w:t>13.4</w:t>
      </w:r>
      <w:r>
        <w:rPr>
          <w:rFonts w:hint="default" w:ascii="Times New Roman" w:hAnsi="Times New Roman" w:eastAsia="方正仿宋简体" w:cs="Times New Roman"/>
          <w:sz w:val="32"/>
          <w:szCs w:val="32"/>
        </w:rPr>
        <w:t>%，城市污水处理率达</w:t>
      </w:r>
      <w:r>
        <w:rPr>
          <w:rFonts w:hint="default" w:ascii="Times New Roman" w:hAnsi="Times New Roman" w:eastAsia="方正仿宋简体" w:cs="Times New Roman"/>
          <w:sz w:val="32"/>
          <w:szCs w:val="32"/>
          <w:lang w:val="en-US" w:eastAsia="zh-CN"/>
        </w:rPr>
        <w:t>97.96</w:t>
      </w:r>
      <w:r>
        <w:rPr>
          <w:rFonts w:hint="default" w:ascii="Times New Roman" w:hAnsi="Times New Roman" w:eastAsia="方正仿宋简体" w:cs="Times New Roman"/>
          <w:sz w:val="32"/>
          <w:szCs w:val="32"/>
        </w:rPr>
        <w:t>%，提高</w:t>
      </w:r>
      <w:r>
        <w:rPr>
          <w:rFonts w:hint="eastAsia"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eastAsia="zh-CN"/>
        </w:rPr>
        <w:t>个百分点</w:t>
      </w:r>
      <w:r>
        <w:rPr>
          <w:rFonts w:hint="default" w:ascii="Times New Roman" w:hAnsi="Times New Roman" w:eastAsia="方正仿宋简体" w:cs="Times New Roman"/>
          <w:sz w:val="32"/>
          <w:szCs w:val="32"/>
        </w:rPr>
        <w:t>。全省城市</w:t>
      </w:r>
      <w:r>
        <w:rPr>
          <w:rFonts w:hint="default" w:ascii="Times New Roman" w:hAnsi="Times New Roman" w:eastAsia="方正仿宋简体" w:cs="Times New Roman"/>
          <w:sz w:val="32"/>
          <w:szCs w:val="32"/>
          <w:lang w:eastAsia="zh-CN"/>
        </w:rPr>
        <w:t>（县城）</w:t>
      </w:r>
      <w:r>
        <w:rPr>
          <w:rFonts w:hint="default" w:ascii="Times New Roman" w:hAnsi="Times New Roman" w:eastAsia="方正仿宋简体" w:cs="Times New Roman"/>
          <w:sz w:val="32"/>
          <w:szCs w:val="32"/>
        </w:rPr>
        <w:t>建成区绿地率达</w:t>
      </w:r>
      <w:r>
        <w:rPr>
          <w:rFonts w:hint="default" w:ascii="Times New Roman" w:hAnsi="Times New Roman" w:eastAsia="方正仿宋简体" w:cs="Times New Roman"/>
          <w:sz w:val="32"/>
          <w:szCs w:val="32"/>
          <w:lang w:val="en-US" w:eastAsia="zh-CN"/>
        </w:rPr>
        <w:t>40.</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%，提高</w:t>
      </w:r>
      <w:r>
        <w:rPr>
          <w:rFonts w:hint="default" w:ascii="Times New Roman" w:hAnsi="Times New Roman" w:eastAsia="方正仿宋简体" w:cs="Times New Roman"/>
          <w:sz w:val="32"/>
          <w:szCs w:val="32"/>
          <w:lang w:val="en-US" w:eastAsia="zh-CN"/>
        </w:rPr>
        <w:t>1.2</w:t>
      </w:r>
      <w:r>
        <w:rPr>
          <w:rFonts w:hint="eastAsia" w:ascii="Times New Roman" w:hAnsi="Times New Roman" w:eastAsia="方正仿宋简体" w:cs="Times New Roman"/>
          <w:sz w:val="32"/>
          <w:szCs w:val="32"/>
          <w:lang w:eastAsia="zh-CN"/>
        </w:rPr>
        <w:t>个百分点</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全年生产安全事故死亡</w:t>
      </w:r>
      <w:r>
        <w:rPr>
          <w:rFonts w:hint="default" w:ascii="Times New Roman" w:hAnsi="Times New Roman" w:eastAsia="方正仿宋简体" w:cs="Times New Roman"/>
          <w:sz w:val="32"/>
          <w:szCs w:val="32"/>
          <w:lang w:val="en"/>
        </w:rPr>
        <w:t>1030</w:t>
      </w:r>
      <w:r>
        <w:rPr>
          <w:rFonts w:hint="default" w:ascii="Times New Roman" w:hAnsi="Times New Roman" w:eastAsia="方正仿宋简体" w:cs="Times New Roman"/>
          <w:sz w:val="32"/>
          <w:szCs w:val="32"/>
        </w:rPr>
        <w:t>人，比上年下降</w:t>
      </w:r>
      <w:r>
        <w:rPr>
          <w:rFonts w:hint="default" w:ascii="Times New Roman" w:hAnsi="Times New Roman" w:eastAsia="方正仿宋简体" w:cs="Times New Roman"/>
          <w:sz w:val="32"/>
          <w:szCs w:val="32"/>
          <w:lang w:val="en"/>
        </w:rPr>
        <w:t>10.9</w:t>
      </w:r>
      <w:r>
        <w:rPr>
          <w:rFonts w:hint="default" w:ascii="Times New Roman" w:hAnsi="Times New Roman" w:eastAsia="方正仿宋简体" w:cs="Times New Roman"/>
          <w:sz w:val="32"/>
          <w:szCs w:val="32"/>
        </w:rPr>
        <w:t>%。亿元GDP生产安全事故死亡</w:t>
      </w:r>
      <w:r>
        <w:rPr>
          <w:rFonts w:hint="eastAsia" w:ascii="Times New Roman" w:hAnsi="Times New Roman" w:eastAsia="方正仿宋简体" w:cs="Times New Roman"/>
          <w:sz w:val="32"/>
          <w:szCs w:val="32"/>
          <w:lang w:val="en-US" w:eastAsia="zh-CN"/>
        </w:rPr>
        <w:t>人数</w:t>
      </w:r>
      <w:r>
        <w:rPr>
          <w:rFonts w:hint="default" w:ascii="Times New Roman" w:hAnsi="Times New Roman" w:eastAsia="方正仿宋简体" w:cs="Times New Roman"/>
          <w:sz w:val="32"/>
          <w:szCs w:val="32"/>
          <w:lang w:val="en-US" w:eastAsia="zh-CN"/>
        </w:rPr>
        <w:t>0.034</w:t>
      </w:r>
      <w:r>
        <w:rPr>
          <w:rFonts w:hint="eastAsia" w:ascii="Times New Roman" w:hAnsi="Times New Roman" w:eastAsia="方正仿宋简体" w:cs="Times New Roman"/>
          <w:sz w:val="32"/>
          <w:szCs w:val="32"/>
          <w:lang w:val="en-US" w:eastAsia="zh-CN"/>
        </w:rPr>
        <w:t>人</w:t>
      </w:r>
      <w:r>
        <w:rPr>
          <w:rFonts w:hint="default" w:ascii="Times New Roman" w:hAnsi="Times New Roman" w:eastAsia="方正仿宋简体" w:cs="Times New Roman"/>
          <w:sz w:val="32"/>
          <w:szCs w:val="32"/>
        </w:rPr>
        <w:t>，下降</w:t>
      </w:r>
      <w:r>
        <w:rPr>
          <w:rFonts w:hint="default" w:ascii="Times New Roman" w:hAnsi="Times New Roman" w:eastAsia="方正仿宋简体" w:cs="Times New Roman"/>
          <w:sz w:val="32"/>
          <w:szCs w:val="32"/>
          <w:lang w:val="en-US" w:eastAsia="zh-CN"/>
        </w:rPr>
        <w:t>15</w:t>
      </w:r>
      <w:r>
        <w:rPr>
          <w:rFonts w:hint="eastAsia" w:ascii="Times New Roman" w:hAnsi="Times New Roman" w:eastAsia="方正仿宋简体" w:cs="Times New Roman"/>
          <w:sz w:val="32"/>
          <w:szCs w:val="32"/>
          <w:lang w:val="en-US" w:eastAsia="zh-CN"/>
        </w:rPr>
        <w:t>.0</w:t>
      </w:r>
      <w:r>
        <w:rPr>
          <w:rFonts w:hint="default" w:ascii="Times New Roman" w:hAnsi="Times New Roman" w:eastAsia="方正仿宋简体" w:cs="Times New Roman"/>
          <w:sz w:val="32"/>
          <w:szCs w:val="32"/>
        </w:rPr>
        <w:t>%；工矿商贸企业（不含煤矿）生产安全事故死亡人数</w:t>
      </w:r>
      <w:r>
        <w:rPr>
          <w:rFonts w:hint="default" w:ascii="Times New Roman" w:hAnsi="Times New Roman" w:eastAsia="方正仿宋简体" w:cs="Times New Roman"/>
          <w:sz w:val="32"/>
          <w:szCs w:val="32"/>
          <w:lang w:val="en-US" w:eastAsia="zh-CN"/>
        </w:rPr>
        <w:t>268</w:t>
      </w:r>
      <w:r>
        <w:rPr>
          <w:rFonts w:hint="default" w:ascii="Times New Roman" w:hAnsi="Times New Roman" w:eastAsia="方正仿宋简体" w:cs="Times New Roman"/>
          <w:sz w:val="32"/>
          <w:szCs w:val="32"/>
        </w:rPr>
        <w:t>人，</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4.7</w:t>
      </w:r>
      <w:r>
        <w:rPr>
          <w:rFonts w:hint="default" w:ascii="Times New Roman" w:hAnsi="Times New Roman" w:eastAsia="方正仿宋简体" w:cs="Times New Roman"/>
          <w:sz w:val="32"/>
          <w:szCs w:val="32"/>
        </w:rPr>
        <w:t>%；煤矿百万吨死亡</w:t>
      </w:r>
      <w:r>
        <w:rPr>
          <w:rFonts w:hint="eastAsia" w:ascii="Times New Roman" w:hAnsi="Times New Roman" w:eastAsia="方正仿宋简体" w:cs="Times New Roman"/>
          <w:sz w:val="32"/>
          <w:szCs w:val="32"/>
          <w:lang w:eastAsia="zh-CN"/>
        </w:rPr>
        <w:t>人数</w:t>
      </w:r>
      <w:r>
        <w:rPr>
          <w:rFonts w:hint="default" w:ascii="Times New Roman" w:hAnsi="Times New Roman" w:eastAsia="方正仿宋简体" w:cs="Times New Roman"/>
          <w:sz w:val="32"/>
          <w:szCs w:val="32"/>
          <w:lang w:eastAsia="zh-CN"/>
        </w:rPr>
        <w:t>0</w:t>
      </w:r>
      <w:r>
        <w:rPr>
          <w:rFonts w:hint="default" w:ascii="Times New Roman" w:hAnsi="Times New Roman" w:eastAsia="方正仿宋简体" w:cs="Times New Roman"/>
          <w:sz w:val="32"/>
          <w:szCs w:val="32"/>
          <w:lang w:val="en-US" w:eastAsia="zh-CN"/>
        </w:rPr>
        <w:t>.094</w:t>
      </w:r>
      <w:r>
        <w:rPr>
          <w:rFonts w:hint="eastAsia" w:ascii="Times New Roman" w:hAnsi="Times New Roman" w:eastAsia="方正仿宋简体" w:cs="Times New Roman"/>
          <w:sz w:val="32"/>
          <w:szCs w:val="32"/>
          <w:lang w:val="en-US" w:eastAsia="zh-CN"/>
        </w:rPr>
        <w:t>人</w:t>
      </w:r>
      <w:r>
        <w:rPr>
          <w:rFonts w:hint="default" w:ascii="Times New Roman" w:hAnsi="Times New Roman" w:eastAsia="方正仿宋简体" w:cs="Times New Roman"/>
          <w:sz w:val="32"/>
          <w:szCs w:val="32"/>
        </w:rPr>
        <w:t>（按统计原煤产量计算）；全年道路运输事故</w:t>
      </w:r>
      <w:r>
        <w:rPr>
          <w:rFonts w:hint="default" w:ascii="Times New Roman" w:hAnsi="Times New Roman" w:eastAsia="方正仿宋简体" w:cs="Times New Roman"/>
          <w:sz w:val="32"/>
          <w:szCs w:val="32"/>
          <w:lang w:val="en-US" w:eastAsia="zh-CN"/>
        </w:rPr>
        <w:t>643</w:t>
      </w:r>
      <w:r>
        <w:rPr>
          <w:rFonts w:hint="default" w:ascii="Times New Roman" w:hAnsi="Times New Roman" w:eastAsia="方正仿宋简体" w:cs="Times New Roman"/>
          <w:sz w:val="32"/>
          <w:szCs w:val="32"/>
        </w:rPr>
        <w:t>起，造成</w:t>
      </w:r>
      <w:r>
        <w:rPr>
          <w:rFonts w:hint="default" w:ascii="Times New Roman" w:hAnsi="Times New Roman" w:eastAsia="方正仿宋简体" w:cs="Times New Roman"/>
          <w:sz w:val="32"/>
          <w:szCs w:val="32"/>
          <w:lang w:val="en-US" w:eastAsia="zh-CN"/>
        </w:rPr>
        <w:t>679</w:t>
      </w:r>
      <w:r>
        <w:rPr>
          <w:rFonts w:hint="default" w:ascii="Times New Roman" w:hAnsi="Times New Roman" w:eastAsia="方正仿宋简体" w:cs="Times New Roman"/>
          <w:sz w:val="32"/>
          <w:szCs w:val="32"/>
        </w:rPr>
        <w:t>人死亡，</w:t>
      </w:r>
      <w:r>
        <w:rPr>
          <w:rFonts w:hint="default" w:ascii="Times New Roman" w:hAnsi="Times New Roman" w:eastAsia="方正仿宋简体" w:cs="Times New Roman"/>
          <w:sz w:val="32"/>
          <w:szCs w:val="32"/>
          <w:lang w:val="en-US" w:eastAsia="zh-CN"/>
        </w:rPr>
        <w:t>293</w:t>
      </w:r>
      <w:r>
        <w:rPr>
          <w:rFonts w:hint="default" w:ascii="Times New Roman" w:hAnsi="Times New Roman" w:eastAsia="方正仿宋简体" w:cs="Times New Roman"/>
          <w:sz w:val="32"/>
          <w:szCs w:val="32"/>
        </w:rPr>
        <w:t>人受伤，直接</w:t>
      </w:r>
      <w:r>
        <w:rPr>
          <w:rFonts w:hint="default" w:ascii="Times New Roman" w:hAnsi="Times New Roman" w:eastAsia="方正仿宋简体" w:cs="Times New Roman"/>
          <w:sz w:val="32"/>
          <w:szCs w:val="32"/>
          <w:lang w:eastAsia="zh-CN"/>
        </w:rPr>
        <w:t>经济</w:t>
      </w:r>
      <w:r>
        <w:rPr>
          <w:rFonts w:hint="default" w:ascii="Times New Roman" w:hAnsi="Times New Roman" w:eastAsia="方正仿宋简体" w:cs="Times New Roman"/>
          <w:sz w:val="32"/>
          <w:szCs w:val="32"/>
        </w:rPr>
        <w:t>损失</w:t>
      </w:r>
      <w:r>
        <w:rPr>
          <w:rFonts w:hint="default" w:ascii="Times New Roman" w:hAnsi="Times New Roman" w:eastAsia="方正仿宋简体" w:cs="Times New Roman"/>
          <w:sz w:val="32"/>
          <w:szCs w:val="32"/>
          <w:lang w:val="en-US" w:eastAsia="zh-CN"/>
        </w:rPr>
        <w:t>7975.05</w:t>
      </w:r>
      <w:r>
        <w:rPr>
          <w:rFonts w:hint="default" w:ascii="Times New Roman" w:hAnsi="Times New Roman" w:eastAsia="方正仿宋简体" w:cs="Times New Roman"/>
          <w:sz w:val="32"/>
          <w:szCs w:val="32"/>
        </w:rPr>
        <w:t>万元。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jc w:val="center"/>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十三、</w:t>
      </w:r>
      <w:r>
        <w:rPr>
          <w:rFonts w:hint="eastAsia" w:ascii="Times New Roman" w:hAnsi="Times New Roman" w:eastAsia="黑体" w:cs="Times New Roman"/>
          <w:bCs/>
          <w:color w:val="auto"/>
          <w:sz w:val="32"/>
          <w:szCs w:val="32"/>
          <w:lang w:eastAsia="zh-CN"/>
        </w:rPr>
        <w:t>人民生活</w:t>
      </w:r>
      <w:r>
        <w:rPr>
          <w:rFonts w:hint="default" w:ascii="Times New Roman" w:hAnsi="Times New Roman" w:eastAsia="黑体" w:cs="Times New Roman"/>
          <w:bCs/>
          <w:color w:val="auto"/>
          <w:sz w:val="32"/>
          <w:szCs w:val="32"/>
        </w:rPr>
        <w:t>和社会保障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全年全省居民人均可支配收入</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19"/>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lang w:val="en-US" w:eastAsia="zh-CN"/>
        </w:rPr>
        <w:t>28421</w:t>
      </w:r>
      <w:r>
        <w:rPr>
          <w:rFonts w:hint="default" w:ascii="Times New Roman" w:hAnsi="Times New Roman" w:eastAsia="方正仿宋简体" w:cs="Times New Roman"/>
          <w:color w:val="auto"/>
          <w:sz w:val="32"/>
          <w:szCs w:val="32"/>
        </w:rPr>
        <w:t>元，比上年增长</w:t>
      </w:r>
      <w:r>
        <w:rPr>
          <w:rFonts w:hint="default" w:ascii="Times New Roman" w:hAnsi="Times New Roman" w:eastAsia="方正仿宋简体" w:cs="Times New Roman"/>
          <w:color w:val="auto"/>
          <w:sz w:val="32"/>
          <w:szCs w:val="32"/>
          <w:lang w:val="en-US" w:eastAsia="zh-CN"/>
        </w:rPr>
        <w:t>5.5</w:t>
      </w:r>
      <w:r>
        <w:rPr>
          <w:rFonts w:hint="default" w:ascii="Times New Roman" w:hAnsi="Times New Roman" w:eastAsia="方正仿宋简体" w:cs="Times New Roman"/>
          <w:color w:val="auto"/>
          <w:sz w:val="32"/>
          <w:szCs w:val="32"/>
        </w:rPr>
        <w:t>%。按常住地分，城镇常住居民人均可支配收入</w:t>
      </w:r>
      <w:r>
        <w:rPr>
          <w:rFonts w:hint="default" w:ascii="Times New Roman" w:hAnsi="Times New Roman" w:eastAsia="方正仿宋简体" w:cs="Times New Roman"/>
          <w:color w:val="auto"/>
          <w:sz w:val="32"/>
          <w:szCs w:val="32"/>
          <w:lang w:val="en-US" w:eastAsia="zh-CN"/>
        </w:rPr>
        <w:t>43563</w:t>
      </w:r>
      <w:r>
        <w:rPr>
          <w:rFonts w:hint="default" w:ascii="Times New Roman" w:hAnsi="Times New Roman" w:eastAsia="方正仿宋简体" w:cs="Times New Roman"/>
          <w:color w:val="auto"/>
          <w:sz w:val="32"/>
          <w:szCs w:val="32"/>
        </w:rPr>
        <w:t>元，增长</w:t>
      </w:r>
      <w:r>
        <w:rPr>
          <w:rFonts w:hint="default" w:ascii="Times New Roman" w:hAnsi="Times New Roman" w:eastAsia="方正仿宋简体" w:cs="Times New Roman"/>
          <w:color w:val="auto"/>
          <w:sz w:val="32"/>
          <w:szCs w:val="32"/>
          <w:lang w:val="en-US" w:eastAsia="zh-CN"/>
        </w:rPr>
        <w:t>3.3</w:t>
      </w:r>
      <w:r>
        <w:rPr>
          <w:rFonts w:hint="default" w:ascii="Times New Roman" w:hAnsi="Times New Roman" w:eastAsia="方正仿宋简体" w:cs="Times New Roman"/>
          <w:color w:val="auto"/>
          <w:sz w:val="32"/>
          <w:szCs w:val="32"/>
        </w:rPr>
        <w:t>%；农村常住居民人均可支配收入</w:t>
      </w:r>
      <w:r>
        <w:rPr>
          <w:rFonts w:hint="default" w:ascii="Times New Roman" w:hAnsi="Times New Roman" w:eastAsia="方正仿宋简体" w:cs="Times New Roman"/>
          <w:color w:val="auto"/>
          <w:sz w:val="32"/>
          <w:szCs w:val="32"/>
          <w:lang w:val="en-US" w:eastAsia="zh-CN"/>
        </w:rPr>
        <w:t>16361</w:t>
      </w:r>
      <w:r>
        <w:rPr>
          <w:rFonts w:hint="default" w:ascii="Times New Roman" w:hAnsi="Times New Roman" w:eastAsia="方正仿宋简体" w:cs="Times New Roman"/>
          <w:color w:val="auto"/>
          <w:sz w:val="32"/>
          <w:szCs w:val="32"/>
        </w:rPr>
        <w:t>元，增长</w:t>
      </w:r>
      <w:r>
        <w:rPr>
          <w:rFonts w:hint="default" w:ascii="Times New Roman" w:hAnsi="Times New Roman" w:eastAsia="方正仿宋简体" w:cs="Times New Roman"/>
          <w:color w:val="auto"/>
          <w:sz w:val="32"/>
          <w:szCs w:val="32"/>
          <w:lang w:val="en-US" w:eastAsia="zh-CN"/>
        </w:rPr>
        <w:t>8.0</w:t>
      </w:r>
      <w:r>
        <w:rPr>
          <w:rFonts w:hint="default" w:ascii="Times New Roman" w:hAnsi="Times New Roman" w:eastAsia="方正仿宋简体" w:cs="Times New Roman"/>
          <w:color w:val="auto"/>
          <w:sz w:val="32"/>
          <w:szCs w:val="32"/>
        </w:rPr>
        <w:t>%。全年脱贫县</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20"/>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rPr>
        <w:t>农村居民人均可支配收入</w:t>
      </w:r>
      <w:r>
        <w:rPr>
          <w:rFonts w:hint="default" w:ascii="Times New Roman" w:hAnsi="Times New Roman" w:eastAsia="方正仿宋简体" w:cs="Times New Roman"/>
          <w:color w:val="auto"/>
          <w:sz w:val="32"/>
          <w:szCs w:val="32"/>
          <w:lang w:val="en-US" w:eastAsia="zh-CN"/>
        </w:rPr>
        <w:t>15218</w:t>
      </w:r>
      <w:r>
        <w:rPr>
          <w:rFonts w:hint="default" w:ascii="Times New Roman" w:hAnsi="Times New Roman" w:eastAsia="方正仿宋简体" w:cs="Times New Roman"/>
          <w:color w:val="auto"/>
          <w:sz w:val="32"/>
          <w:szCs w:val="32"/>
        </w:rPr>
        <w:t>元，增长</w:t>
      </w:r>
      <w:r>
        <w:rPr>
          <w:rFonts w:hint="default" w:ascii="Times New Roman" w:hAnsi="Times New Roman" w:eastAsia="方正仿宋简体" w:cs="Times New Roman"/>
          <w:color w:val="auto"/>
          <w:sz w:val="32"/>
          <w:szCs w:val="32"/>
          <w:lang w:val="en-US" w:eastAsia="zh-CN"/>
        </w:rPr>
        <w:t>8.5</w:t>
      </w:r>
      <w:r>
        <w:rPr>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全年全省居民人均消费支出</w:t>
      </w:r>
      <w:r>
        <w:rPr>
          <w:rStyle w:val="14"/>
          <w:rFonts w:hint="default" w:ascii="Times New Roman" w:hAnsi="Times New Roman" w:eastAsia="方正仿宋简体" w:cs="Times New Roman"/>
          <w:color w:val="auto"/>
          <w:sz w:val="32"/>
          <w:szCs w:val="32"/>
          <w:highlight w:val="none"/>
        </w:rPr>
        <w:t>[</w:t>
      </w:r>
      <w:r>
        <w:rPr>
          <w:rStyle w:val="14"/>
          <w:rFonts w:hint="default" w:ascii="Times New Roman" w:hAnsi="Times New Roman" w:eastAsia="方正仿宋简体" w:cs="Times New Roman"/>
          <w:color w:val="auto"/>
          <w:sz w:val="32"/>
          <w:szCs w:val="32"/>
          <w:highlight w:val="none"/>
        </w:rPr>
        <w:endnoteReference w:id="21"/>
      </w:r>
      <w:r>
        <w:rPr>
          <w:rStyle w:val="14"/>
          <w:rFonts w:hint="default" w:ascii="Times New Roman" w:hAnsi="Times New Roman" w:eastAsia="方正仿宋简体" w:cs="Times New Roman"/>
          <w:color w:val="auto"/>
          <w:sz w:val="32"/>
          <w:szCs w:val="32"/>
          <w:highlight w:val="none"/>
        </w:rPr>
        <w:t>]</w:t>
      </w:r>
      <w:r>
        <w:rPr>
          <w:rFonts w:hint="default" w:ascii="Times New Roman" w:hAnsi="Times New Roman" w:eastAsia="方正仿宋简体" w:cs="Times New Roman"/>
          <w:color w:val="auto"/>
          <w:sz w:val="32"/>
          <w:szCs w:val="32"/>
          <w:lang w:val="en-US" w:eastAsia="zh-CN"/>
        </w:rPr>
        <w:t>20995</w:t>
      </w:r>
      <w:r>
        <w:rPr>
          <w:rFonts w:hint="default" w:ascii="Times New Roman" w:hAnsi="Times New Roman" w:eastAsia="方正仿宋简体" w:cs="Times New Roman"/>
          <w:color w:val="auto"/>
          <w:sz w:val="32"/>
          <w:szCs w:val="32"/>
        </w:rPr>
        <w:t>元，比上年增长</w:t>
      </w:r>
      <w:r>
        <w:rPr>
          <w:rFonts w:hint="default" w:ascii="Times New Roman" w:hAnsi="Times New Roman" w:eastAsia="方正仿宋简体" w:cs="Times New Roman"/>
          <w:color w:val="auto"/>
          <w:sz w:val="32"/>
          <w:szCs w:val="32"/>
          <w:lang w:val="en-US" w:eastAsia="zh-CN"/>
        </w:rPr>
        <w:t>10.8%</w:t>
      </w:r>
      <w:r>
        <w:rPr>
          <w:rFonts w:hint="default" w:ascii="Times New Roman" w:hAnsi="Times New Roman" w:eastAsia="方正仿宋简体" w:cs="Times New Roman"/>
          <w:color w:val="auto"/>
          <w:sz w:val="32"/>
          <w:szCs w:val="32"/>
        </w:rPr>
        <w:t>，城镇常住居民人均消费支出</w:t>
      </w:r>
      <w:r>
        <w:rPr>
          <w:rFonts w:hint="default" w:ascii="Times New Roman" w:hAnsi="Times New Roman" w:eastAsia="方正仿宋简体" w:cs="Times New Roman"/>
          <w:color w:val="auto"/>
          <w:sz w:val="32"/>
          <w:szCs w:val="32"/>
          <w:lang w:val="en-US" w:eastAsia="zh-CN"/>
        </w:rPr>
        <w:t>28338</w:t>
      </w:r>
      <w:r>
        <w:rPr>
          <w:rFonts w:hint="default" w:ascii="Times New Roman" w:hAnsi="Times New Roman" w:eastAsia="方正仿宋简体" w:cs="Times New Roman"/>
          <w:color w:val="auto"/>
          <w:sz w:val="32"/>
          <w:szCs w:val="32"/>
        </w:rPr>
        <w:t>元，</w:t>
      </w:r>
      <w:r>
        <w:rPr>
          <w:rFonts w:hint="eastAsia" w:ascii="Times New Roman" w:hAnsi="Times New Roman" w:eastAsia="方正仿宋简体" w:cs="Times New Roman"/>
          <w:color w:val="auto"/>
          <w:sz w:val="32"/>
          <w:szCs w:val="32"/>
          <w:lang w:eastAsia="zh-CN"/>
        </w:rPr>
        <w:t>增长</w:t>
      </w:r>
      <w:r>
        <w:rPr>
          <w:rFonts w:hint="default" w:ascii="Times New Roman" w:hAnsi="Times New Roman" w:eastAsia="方正仿宋简体" w:cs="Times New Roman"/>
          <w:color w:val="auto"/>
          <w:sz w:val="32"/>
          <w:szCs w:val="32"/>
          <w:lang w:val="en-US" w:eastAsia="zh-CN"/>
        </w:rPr>
        <w:t>8.0%</w:t>
      </w:r>
      <w:r>
        <w:rPr>
          <w:rFonts w:hint="default" w:ascii="Times New Roman" w:hAnsi="Times New Roman" w:eastAsia="方正仿宋简体" w:cs="Times New Roman"/>
          <w:color w:val="auto"/>
          <w:sz w:val="32"/>
          <w:szCs w:val="32"/>
        </w:rPr>
        <w:t>；农村常住居民人均消费支出</w:t>
      </w:r>
      <w:r>
        <w:rPr>
          <w:rFonts w:hint="default" w:ascii="Times New Roman" w:hAnsi="Times New Roman" w:eastAsia="方正仿宋简体" w:cs="Times New Roman"/>
          <w:color w:val="auto"/>
          <w:sz w:val="32"/>
          <w:szCs w:val="32"/>
          <w:lang w:val="en-US" w:eastAsia="zh-CN"/>
        </w:rPr>
        <w:t>15147</w:t>
      </w:r>
      <w:r>
        <w:rPr>
          <w:rFonts w:hint="default" w:ascii="Times New Roman" w:hAnsi="Times New Roman" w:eastAsia="方正仿宋简体" w:cs="Times New Roman"/>
          <w:color w:val="auto"/>
          <w:sz w:val="32"/>
          <w:szCs w:val="32"/>
        </w:rPr>
        <w:t>元，增长</w:t>
      </w:r>
      <w:r>
        <w:rPr>
          <w:rFonts w:hint="default" w:ascii="Times New Roman" w:hAnsi="Times New Roman" w:eastAsia="方正仿宋简体" w:cs="Times New Roman"/>
          <w:color w:val="auto"/>
          <w:sz w:val="32"/>
          <w:szCs w:val="32"/>
          <w:lang w:val="en-US" w:eastAsia="zh-CN"/>
        </w:rPr>
        <w:t>13.8</w:t>
      </w:r>
      <w:r>
        <w:rPr>
          <w:rFonts w:hint="default" w:ascii="Times New Roman" w:hAnsi="Times New Roman" w:eastAsia="方正仿宋简体" w:cs="Times New Roman"/>
          <w:color w:val="auto"/>
          <w:sz w:val="32"/>
          <w:szCs w:val="32"/>
        </w:rPr>
        <w:t>%。</w:t>
      </w:r>
    </w:p>
    <w:p>
      <w:pPr>
        <w:pStyle w:val="2"/>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rPr>
          <w:rFonts w:hint="eastAsia" w:ascii="Times New Roman" w:hAnsi="Times New Roman" w:eastAsia="宋体" w:cs="Times New Roman"/>
          <w:highlight w:val="yellow"/>
          <w:lang w:eastAsia="zh-CN"/>
        </w:rPr>
      </w:pPr>
      <w:r>
        <w:rPr>
          <w:rFonts w:hint="eastAsia" w:ascii="Times New Roman" w:hAnsi="Times New Roman" w:eastAsia="宋体" w:cs="Times New Roman"/>
          <w:highlight w:val="none"/>
          <w:lang w:eastAsia="zh-CN"/>
        </w:rPr>
        <w:drawing>
          <wp:inline distT="0" distB="0" distL="114300" distR="114300">
            <wp:extent cx="4791075" cy="2879725"/>
            <wp:effectExtent l="0" t="0" r="9525" b="15875"/>
            <wp:docPr id="13" name="图片 13"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1"/>
                    <pic:cNvPicPr>
                      <a:picLocks noChangeAspect="1"/>
                    </pic:cNvPicPr>
                  </pic:nvPicPr>
                  <pic:blipFill>
                    <a:blip r:embed="rId17"/>
                    <a:stretch>
                      <a:fillRect/>
                    </a:stretch>
                  </pic:blipFill>
                  <pic:spPr>
                    <a:xfrm>
                      <a:off x="0" y="0"/>
                      <a:ext cx="4791075" cy="2879725"/>
                    </a:xfrm>
                    <a:prstGeom prst="rect">
                      <a:avLst/>
                    </a:prstGeom>
                  </pic:spPr>
                </pic:pic>
              </a:graphicData>
            </a:graphic>
          </wp:inline>
        </w:drawing>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年末全省参加城镇职工基本养老保险人数</w:t>
      </w:r>
      <w:r>
        <w:rPr>
          <w:rFonts w:hint="default" w:ascii="Times New Roman" w:hAnsi="Times New Roman" w:eastAsia="方正仿宋简体" w:cs="Times New Roman"/>
          <w:sz w:val="32"/>
          <w:szCs w:val="32"/>
          <w:lang w:val="en-US" w:eastAsia="zh-CN"/>
        </w:rPr>
        <w:t>883.59</w:t>
      </w:r>
      <w:r>
        <w:rPr>
          <w:rFonts w:hint="default" w:ascii="Times New Roman" w:hAnsi="Times New Roman" w:eastAsia="方正仿宋简体" w:cs="Times New Roman"/>
          <w:sz w:val="32"/>
          <w:szCs w:val="32"/>
        </w:rPr>
        <w:t>万人</w:t>
      </w:r>
      <w:r>
        <w:rPr>
          <w:rFonts w:hint="default" w:ascii="Times New Roman" w:hAnsi="Times New Roman" w:eastAsia="方正仿宋简体" w:cs="Times New Roman"/>
          <w:spacing w:val="-6"/>
          <w:sz w:val="32"/>
          <w:szCs w:val="32"/>
        </w:rPr>
        <w:t>。其中，参保职工</w:t>
      </w:r>
      <w:r>
        <w:rPr>
          <w:rFonts w:hint="default" w:ascii="Times New Roman" w:hAnsi="Times New Roman" w:eastAsia="方正仿宋简体" w:cs="Times New Roman"/>
          <w:sz w:val="32"/>
          <w:szCs w:val="32"/>
          <w:lang w:val="en-US" w:eastAsia="zh-CN"/>
        </w:rPr>
        <w:t>680.98</w:t>
      </w:r>
      <w:r>
        <w:rPr>
          <w:rFonts w:hint="default" w:ascii="Times New Roman" w:hAnsi="Times New Roman" w:eastAsia="方正仿宋简体" w:cs="Times New Roman"/>
          <w:spacing w:val="-6"/>
          <w:sz w:val="32"/>
          <w:szCs w:val="32"/>
        </w:rPr>
        <w:t>万人，参保离退休人员</w:t>
      </w:r>
      <w:r>
        <w:rPr>
          <w:rFonts w:hint="default" w:ascii="Times New Roman" w:hAnsi="Times New Roman" w:eastAsia="方正仿宋简体" w:cs="Times New Roman"/>
          <w:sz w:val="32"/>
          <w:szCs w:val="32"/>
          <w:lang w:val="en-US" w:eastAsia="zh-CN"/>
        </w:rPr>
        <w:t>202.61</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，女性</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人数</w:t>
      </w:r>
      <w:r>
        <w:rPr>
          <w:rFonts w:hint="default" w:ascii="Times New Roman" w:hAnsi="Times New Roman" w:eastAsia="方正仿宋简体" w:cs="Times New Roman"/>
          <w:sz w:val="32"/>
          <w:szCs w:val="32"/>
          <w:lang w:val="en-US" w:eastAsia="zh-CN"/>
        </w:rPr>
        <w:t>426.32</w:t>
      </w:r>
      <w:r>
        <w:rPr>
          <w:rFonts w:hint="default" w:ascii="Times New Roman" w:hAnsi="Times New Roman" w:eastAsia="方正仿宋简体" w:cs="Times New Roman"/>
          <w:spacing w:val="-6"/>
          <w:sz w:val="32"/>
          <w:szCs w:val="32"/>
        </w:rPr>
        <w:t>万人。参加城乡基本养老保险人数</w:t>
      </w:r>
      <w:r>
        <w:rPr>
          <w:rFonts w:hint="default" w:ascii="Times New Roman" w:hAnsi="Times New Roman" w:eastAsia="方正仿宋简体" w:cs="Times New Roman"/>
          <w:sz w:val="32"/>
          <w:szCs w:val="32"/>
          <w:lang w:val="en-US" w:eastAsia="zh-CN"/>
        </w:rPr>
        <w:t>2491.08</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，其中女性</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人数</w:t>
      </w:r>
      <w:r>
        <w:rPr>
          <w:rFonts w:hint="default" w:ascii="Times New Roman" w:hAnsi="Times New Roman" w:eastAsia="方正仿宋简体" w:cs="Times New Roman"/>
          <w:sz w:val="32"/>
          <w:szCs w:val="32"/>
          <w:lang w:val="en-US" w:eastAsia="zh-CN"/>
        </w:rPr>
        <w:t>1235.39</w:t>
      </w:r>
      <w:r>
        <w:rPr>
          <w:rFonts w:hint="default" w:ascii="Times New Roman" w:hAnsi="Times New Roman" w:eastAsia="方正仿宋简体" w:cs="Times New Roman"/>
          <w:spacing w:val="-6"/>
          <w:sz w:val="32"/>
          <w:szCs w:val="32"/>
        </w:rPr>
        <w:t>万人。参加城乡居民基本医疗保险人数</w:t>
      </w:r>
      <w:r>
        <w:rPr>
          <w:rFonts w:hint="default" w:ascii="Times New Roman" w:hAnsi="Times New Roman" w:eastAsia="方正仿宋简体" w:cs="Times New Roman"/>
          <w:sz w:val="32"/>
          <w:szCs w:val="32"/>
          <w:lang w:val="en-US" w:eastAsia="zh-CN"/>
        </w:rPr>
        <w:t>3695.25</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，其中，女性</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人数</w:t>
      </w:r>
      <w:r>
        <w:rPr>
          <w:rFonts w:hint="default" w:ascii="Times New Roman" w:hAnsi="Times New Roman" w:eastAsia="方正仿宋简体" w:cs="Times New Roman"/>
          <w:sz w:val="32"/>
          <w:szCs w:val="32"/>
          <w:lang w:val="en-US" w:eastAsia="zh-CN"/>
        </w:rPr>
        <w:t>1930.96</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儿童</w:t>
      </w:r>
      <w:r>
        <w:rPr>
          <w:rFonts w:hint="default" w:ascii="Times New Roman" w:hAnsi="Times New Roman" w:eastAsia="方正仿宋简体" w:cs="Times New Roman"/>
          <w:sz w:val="32"/>
          <w:szCs w:val="32"/>
          <w:lang w:val="en-US" w:eastAsia="zh-CN"/>
        </w:rPr>
        <w:t>964.81</w:t>
      </w:r>
      <w:r>
        <w:rPr>
          <w:rFonts w:hint="default" w:ascii="Times New Roman" w:hAnsi="Times New Roman" w:eastAsia="方正仿宋简体" w:cs="Times New Roman"/>
          <w:spacing w:val="-6"/>
          <w:sz w:val="32"/>
          <w:szCs w:val="32"/>
        </w:rPr>
        <w:t>万人</w:t>
      </w:r>
      <w:r>
        <w:rPr>
          <w:rFonts w:hint="eastAsia" w:ascii="Times New Roman" w:hAnsi="Times New Roman" w:eastAsia="方正仿宋简体" w:cs="Times New Roman"/>
          <w:spacing w:val="-6"/>
          <w:sz w:val="32"/>
          <w:szCs w:val="32"/>
          <w:lang w:eastAsia="zh-CN"/>
        </w:rPr>
        <w:t>。</w:t>
      </w:r>
      <w:r>
        <w:rPr>
          <w:rFonts w:hint="default" w:ascii="Times New Roman" w:hAnsi="Times New Roman" w:eastAsia="方正仿宋简体" w:cs="Times New Roman"/>
          <w:spacing w:val="-6"/>
          <w:sz w:val="32"/>
          <w:szCs w:val="32"/>
        </w:rPr>
        <w:t>参加失业保险人数</w:t>
      </w:r>
      <w:r>
        <w:rPr>
          <w:rFonts w:hint="default" w:ascii="Times New Roman" w:hAnsi="Times New Roman" w:eastAsia="方正仿宋简体" w:cs="Times New Roman"/>
          <w:sz w:val="32"/>
          <w:szCs w:val="32"/>
          <w:lang w:val="en-US" w:eastAsia="zh-CN"/>
        </w:rPr>
        <w:t>375.69</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其中女性</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人数</w:t>
      </w:r>
      <w:r>
        <w:rPr>
          <w:rFonts w:hint="default" w:ascii="Times New Roman" w:hAnsi="Times New Roman" w:eastAsia="方正仿宋简体" w:cs="Times New Roman"/>
          <w:sz w:val="32"/>
          <w:szCs w:val="32"/>
          <w:lang w:val="en-US" w:eastAsia="zh-CN"/>
        </w:rPr>
        <w:t>174.21</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w:t>
      </w:r>
      <w:r>
        <w:rPr>
          <w:rFonts w:hint="default" w:ascii="Times New Roman" w:hAnsi="Times New Roman" w:eastAsia="方正仿宋简体" w:cs="Times New Roman"/>
          <w:spacing w:val="-6"/>
          <w:sz w:val="32"/>
          <w:szCs w:val="32"/>
        </w:rPr>
        <w:t>参加工伤保险人数</w:t>
      </w:r>
      <w:r>
        <w:rPr>
          <w:rFonts w:hint="default" w:ascii="Times New Roman" w:hAnsi="Times New Roman" w:eastAsia="方正仿宋简体" w:cs="Times New Roman"/>
          <w:sz w:val="32"/>
          <w:szCs w:val="32"/>
          <w:lang w:val="en-US" w:eastAsia="zh-CN"/>
        </w:rPr>
        <w:t>606.57</w:t>
      </w:r>
      <w:r>
        <w:rPr>
          <w:rFonts w:hint="default" w:ascii="Times New Roman" w:hAnsi="Times New Roman" w:eastAsia="方正仿宋简体" w:cs="Times New Roman"/>
          <w:spacing w:val="-6"/>
          <w:sz w:val="32"/>
          <w:szCs w:val="32"/>
        </w:rPr>
        <w:t>万人</w:t>
      </w:r>
      <w:r>
        <w:rPr>
          <w:rFonts w:hint="default" w:ascii="Times New Roman" w:hAnsi="Times New Roman" w:eastAsia="方正仿宋简体" w:cs="Times New Roman"/>
          <w:spacing w:val="-6"/>
          <w:sz w:val="32"/>
          <w:szCs w:val="32"/>
          <w:lang w:eastAsia="zh-CN"/>
        </w:rPr>
        <w:t>，其中女性</w:t>
      </w:r>
      <w:r>
        <w:rPr>
          <w:rFonts w:hint="default" w:ascii="Times New Roman" w:hAnsi="Times New Roman" w:eastAsia="方正仿宋简体" w:cs="Times New Roman"/>
          <w:spacing w:val="-6"/>
          <w:sz w:val="32"/>
          <w:szCs w:val="32"/>
        </w:rPr>
        <w:t>参保</w:t>
      </w:r>
      <w:r>
        <w:rPr>
          <w:rFonts w:hint="default" w:ascii="Times New Roman" w:hAnsi="Times New Roman" w:eastAsia="方正仿宋简体" w:cs="Times New Roman"/>
          <w:spacing w:val="-6"/>
          <w:sz w:val="32"/>
          <w:szCs w:val="32"/>
          <w:lang w:eastAsia="zh-CN"/>
        </w:rPr>
        <w:t>人数</w:t>
      </w:r>
      <w:r>
        <w:rPr>
          <w:rFonts w:hint="default" w:ascii="Times New Roman" w:hAnsi="Times New Roman" w:eastAsia="方正仿宋简体" w:cs="Times New Roman"/>
          <w:sz w:val="32"/>
          <w:szCs w:val="32"/>
          <w:lang w:val="en-US" w:eastAsia="zh-CN"/>
        </w:rPr>
        <w:t>237.66</w:t>
      </w:r>
      <w:r>
        <w:rPr>
          <w:rFonts w:hint="default" w:ascii="Times New Roman" w:hAnsi="Times New Roman" w:eastAsia="方正仿宋简体" w:cs="Times New Roman"/>
          <w:spacing w:val="-6"/>
          <w:sz w:val="32"/>
          <w:szCs w:val="32"/>
        </w:rPr>
        <w:t>万人。</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简体" w:cs="Times New Roman"/>
          <w:sz w:val="32"/>
          <w:szCs w:val="32"/>
        </w:rPr>
        <w:sectPr>
          <w:footerReference r:id="rId4" w:type="default"/>
          <w:footerReference r:id="rId5" w:type="even"/>
          <w:endnotePr>
            <w:numFmt w:val="decimal"/>
          </w:endnotePr>
          <w:pgSz w:w="11906" w:h="16838"/>
          <w:pgMar w:top="1871" w:right="1531" w:bottom="1587" w:left="1531" w:header="851" w:footer="1474" w:gutter="0"/>
          <w:pgBorders>
            <w:top w:val="none" w:sz="0" w:space="0"/>
            <w:left w:val="none" w:sz="0" w:space="0"/>
            <w:bottom w:val="none" w:sz="0" w:space="0"/>
            <w:right w:val="none" w:sz="0" w:space="0"/>
          </w:pgBorders>
          <w:cols w:space="0" w:num="1"/>
          <w:rtlGutter w:val="0"/>
          <w:docGrid w:type="lines" w:linePitch="312" w:charSpace="0"/>
        </w:sectPr>
      </w:pPr>
      <w:r>
        <w:rPr>
          <w:rFonts w:hint="default" w:ascii="Times New Roman" w:hAnsi="Times New Roman" w:eastAsia="方正仿宋简体" w:cs="Times New Roman"/>
          <w:sz w:val="32"/>
          <w:szCs w:val="32"/>
        </w:rPr>
        <w:t>年末全省各类提供住宿的社会服务机构和设施</w:t>
      </w:r>
      <w:r>
        <w:rPr>
          <w:rFonts w:hint="default" w:ascii="Times New Roman" w:hAnsi="Times New Roman" w:eastAsia="方正仿宋简体" w:cs="Times New Roman"/>
          <w:sz w:val="32"/>
          <w:szCs w:val="32"/>
          <w:lang w:val="en-US" w:eastAsia="zh-CN"/>
        </w:rPr>
        <w:t>5970</w:t>
      </w:r>
      <w:r>
        <w:rPr>
          <w:rFonts w:hint="default" w:ascii="Times New Roman" w:hAnsi="Times New Roman" w:eastAsia="方正仿宋简体" w:cs="Times New Roman"/>
          <w:sz w:val="32"/>
          <w:szCs w:val="32"/>
        </w:rPr>
        <w:t>个，其中养老服务机构和设施</w:t>
      </w:r>
      <w:r>
        <w:rPr>
          <w:rFonts w:hint="default" w:ascii="Times New Roman" w:hAnsi="Times New Roman" w:eastAsia="方正仿宋简体" w:cs="Times New Roman"/>
          <w:sz w:val="32"/>
          <w:szCs w:val="32"/>
          <w:lang w:val="en-US" w:eastAsia="zh-CN"/>
        </w:rPr>
        <w:t>5856</w:t>
      </w:r>
      <w:r>
        <w:rPr>
          <w:rFonts w:hint="default" w:ascii="Times New Roman" w:hAnsi="Times New Roman" w:eastAsia="方正仿宋简体" w:cs="Times New Roman"/>
          <w:sz w:val="32"/>
          <w:szCs w:val="32"/>
        </w:rPr>
        <w:t>个。社会服务床位</w:t>
      </w:r>
      <w:r>
        <w:rPr>
          <w:rFonts w:hint="default" w:ascii="Times New Roman" w:hAnsi="Times New Roman" w:eastAsia="方正仿宋简体" w:cs="Times New Roman"/>
          <w:sz w:val="32"/>
          <w:szCs w:val="32"/>
          <w:lang w:val="en-US" w:eastAsia="zh-CN"/>
        </w:rPr>
        <w:t>14.6</w:t>
      </w:r>
      <w:r>
        <w:rPr>
          <w:rFonts w:hint="default" w:ascii="Times New Roman" w:hAnsi="Times New Roman" w:eastAsia="方正仿宋简体" w:cs="Times New Roman"/>
          <w:sz w:val="32"/>
          <w:szCs w:val="32"/>
        </w:rPr>
        <w:t>万张，其中养老床位</w:t>
      </w:r>
      <w:r>
        <w:rPr>
          <w:rFonts w:hint="default" w:ascii="Times New Roman" w:hAnsi="Times New Roman" w:eastAsia="方正仿宋简体" w:cs="Times New Roman"/>
          <w:sz w:val="32"/>
          <w:szCs w:val="32"/>
          <w:lang w:val="en-US" w:eastAsia="zh-CN"/>
        </w:rPr>
        <w:t>13.9</w:t>
      </w:r>
      <w:r>
        <w:rPr>
          <w:rFonts w:hint="default" w:ascii="Times New Roman" w:hAnsi="Times New Roman" w:eastAsia="方正仿宋简体" w:cs="Times New Roman"/>
          <w:sz w:val="32"/>
          <w:szCs w:val="32"/>
        </w:rPr>
        <w:t>万张。各类社区服务设施</w:t>
      </w:r>
      <w:r>
        <w:rPr>
          <w:rFonts w:hint="default" w:ascii="Times New Roman" w:hAnsi="Times New Roman" w:eastAsia="方正仿宋简体" w:cs="Times New Roman"/>
          <w:sz w:val="32"/>
          <w:szCs w:val="32"/>
          <w:lang w:val="en-US" w:eastAsia="zh-CN"/>
        </w:rPr>
        <w:t>16029</w:t>
      </w:r>
      <w:r>
        <w:rPr>
          <w:rFonts w:hint="default" w:ascii="Times New Roman" w:hAnsi="Times New Roman" w:eastAsia="方正仿宋简体" w:cs="Times New Roman"/>
          <w:sz w:val="32"/>
          <w:szCs w:val="32"/>
        </w:rPr>
        <w:t>个，其中，社区服务中心</w:t>
      </w:r>
      <w:r>
        <w:rPr>
          <w:rFonts w:hint="default" w:ascii="Times New Roman" w:hAnsi="Times New Roman" w:eastAsia="方正仿宋简体" w:cs="Times New Roman"/>
          <w:sz w:val="32"/>
          <w:szCs w:val="32"/>
          <w:lang w:val="en-US" w:eastAsia="zh-CN"/>
        </w:rPr>
        <w:t>735</w:t>
      </w:r>
      <w:r>
        <w:rPr>
          <w:rFonts w:hint="default" w:ascii="Times New Roman" w:hAnsi="Times New Roman" w:eastAsia="方正仿宋简体" w:cs="Times New Roman"/>
          <w:sz w:val="32"/>
          <w:szCs w:val="32"/>
        </w:rPr>
        <w:t>个，社区服务站</w:t>
      </w:r>
      <w:r>
        <w:rPr>
          <w:rFonts w:hint="default" w:ascii="Times New Roman" w:hAnsi="Times New Roman" w:eastAsia="方正仿宋简体" w:cs="Times New Roman"/>
          <w:sz w:val="32"/>
          <w:szCs w:val="32"/>
          <w:lang w:val="en-US" w:eastAsia="zh-CN"/>
        </w:rPr>
        <w:t>14782</w:t>
      </w:r>
      <w:r>
        <w:rPr>
          <w:rFonts w:hint="default" w:ascii="Times New Roman" w:hAnsi="Times New Roman" w:eastAsia="方正仿宋简体" w:cs="Times New Roman"/>
          <w:sz w:val="32"/>
          <w:szCs w:val="32"/>
        </w:rPr>
        <w:t>个。全年销售社会福利彩票</w:t>
      </w:r>
      <w:r>
        <w:rPr>
          <w:rFonts w:hint="default" w:ascii="Times New Roman" w:hAnsi="Times New Roman" w:eastAsia="方正仿宋简体" w:cs="Times New Roman"/>
          <w:sz w:val="32"/>
          <w:szCs w:val="32"/>
          <w:lang w:val="en-US" w:eastAsia="zh-CN"/>
        </w:rPr>
        <w:t>94.35</w:t>
      </w:r>
      <w:r>
        <w:rPr>
          <w:rFonts w:hint="default" w:ascii="Times New Roman" w:hAnsi="Times New Roman" w:eastAsia="方正仿宋简体" w:cs="Times New Roman"/>
          <w:sz w:val="32"/>
          <w:szCs w:val="32"/>
        </w:rPr>
        <w:t>亿元。</w:t>
      </w:r>
    </w:p>
    <w:p>
      <w:pPr>
        <w:keepNext w:val="0"/>
        <w:keepLines w:val="0"/>
        <w:pageBreakBefore w:val="0"/>
        <w:widowControl w:val="0"/>
        <w:kinsoku/>
        <w:wordWrap/>
        <w:overflowPunct w:val="0"/>
        <w:topLinePunct w:val="0"/>
        <w:autoSpaceDE/>
        <w:autoSpaceDN/>
        <w:bidi w:val="0"/>
        <w:adjustRightInd/>
        <w:snapToGrid/>
        <w:spacing w:line="560" w:lineRule="exact"/>
        <w:ind w:left="0" w:leftChars="0"/>
        <w:rPr>
          <w:rFonts w:hint="default" w:ascii="Times New Roman" w:hAnsi="Times New Roman" w:eastAsia="方正黑体简体" w:cs="Times New Roman"/>
        </w:rPr>
      </w:pPr>
      <w:r>
        <w:rPr>
          <w:rFonts w:hint="default" w:ascii="Times New Roman" w:hAnsi="Times New Roman" w:eastAsia="方正黑体简体" w:cs="Times New Roman"/>
          <w:sz w:val="32"/>
          <w:szCs w:val="32"/>
        </w:rPr>
        <w:t>注释：</w:t>
      </w:r>
    </w:p>
    <w:p>
      <w:pPr>
        <w:rPr>
          <w:rFonts w:hint="default" w:ascii="Times New Roman" w:hAnsi="Times New Roman" w:cs="Times New Roman"/>
        </w:rPr>
      </w:pPr>
    </w:p>
    <w:sectPr>
      <w:pgSz w:w="11906" w:h="16838"/>
      <w:pgMar w:top="2098" w:right="1474" w:bottom="1984" w:left="158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44">
    <w:p>
      <w:r>
        <w:separator/>
      </w:r>
    </w:p>
  </w:endnote>
  <w:endnote w:type="continuationSeparator" w:id="45">
    <w:p>
      <w:r>
        <w:continuationSeparator/>
      </w:r>
    </w:p>
  </w:endnote>
  <w:endnote w:id="0">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公报中各项数据为初步统计数，部分数据因四舍五入的原因，存在总计与分项合计不等的情况。</w:t>
      </w:r>
    </w:p>
  </w:endnote>
  <w:endnote w:id="1">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生产总值、三次产业增加值的绝对值按现价计算，增长速度按可比价计算。</w:t>
      </w:r>
    </w:p>
  </w:endnote>
  <w:endnote w:id="2">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2018-2020年全员劳动生产率使用按2015年价格核算的不变价地区生产总值计算，2021-202</w:t>
      </w:r>
      <w:r>
        <w:rPr>
          <w:rFonts w:hint="eastAsia" w:ascii="方正楷体简体" w:hAnsi="方正楷体简体" w:eastAsia="方正楷体简体" w:cs="方正楷体简体"/>
          <w:sz w:val="28"/>
          <w:szCs w:val="28"/>
          <w:lang w:val="en-US" w:eastAsia="zh-CN"/>
        </w:rPr>
        <w:t>3</w:t>
      </w:r>
      <w:r>
        <w:rPr>
          <w:rFonts w:hint="eastAsia" w:ascii="方正楷体简体" w:hAnsi="方正楷体简体" w:eastAsia="方正楷体简体" w:cs="方正楷体简体"/>
          <w:sz w:val="28"/>
          <w:szCs w:val="28"/>
        </w:rPr>
        <w:t>年全员劳动生产率使用按2020年价格核算的不变价地区生产总值计算。</w:t>
      </w:r>
    </w:p>
  </w:endnote>
  <w:endnote w:id="3">
    <w:p>
      <w:pPr>
        <w:pStyle w:val="9"/>
        <w:spacing w:line="400" w:lineRule="exact"/>
        <w:ind w:firstLine="560" w:firstLineChars="200"/>
        <w:jc w:val="both"/>
        <w:rPr>
          <w:rFonts w:ascii="方正楷体简体" w:hAnsi="方正楷体简体" w:eastAsia="方正楷体简体" w:cs="方正楷体简体"/>
          <w:color w:val="FF0000"/>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xml:space="preserve">] </w:t>
      </w:r>
      <w:r>
        <w:rPr>
          <w:rFonts w:ascii="方正楷体简体" w:hAnsi="方正楷体简体" w:eastAsia="方正楷体简体" w:cs="方正楷体简体"/>
          <w:sz w:val="28"/>
          <w:szCs w:val="28"/>
        </w:rPr>
        <w:t>202</w:t>
      </w:r>
      <w:r>
        <w:rPr>
          <w:rFonts w:hint="eastAsia" w:ascii="方正楷体简体" w:hAnsi="方正楷体简体" w:eastAsia="方正楷体简体" w:cs="方正楷体简体"/>
          <w:sz w:val="28"/>
          <w:szCs w:val="28"/>
          <w:lang w:val="en-US" w:eastAsia="zh-CN"/>
        </w:rPr>
        <w:t>3</w:t>
      </w:r>
      <w:r>
        <w:rPr>
          <w:rFonts w:ascii="方正楷体简体" w:hAnsi="方正楷体简体" w:eastAsia="方正楷体简体" w:cs="方正楷体简体"/>
          <w:sz w:val="28"/>
          <w:szCs w:val="28"/>
        </w:rPr>
        <w:t>年末，0-14岁（含不满15周岁）人口为</w:t>
      </w:r>
      <w:r>
        <w:rPr>
          <w:rFonts w:hint="eastAsia" w:ascii="方正楷体简体" w:hAnsi="方正楷体简体" w:eastAsia="方正楷体简体" w:cs="方正楷体简体"/>
          <w:sz w:val="28"/>
          <w:szCs w:val="28"/>
          <w:lang w:val="en-US" w:eastAsia="zh-CN"/>
        </w:rPr>
        <w:t>856</w:t>
      </w:r>
      <w:r>
        <w:rPr>
          <w:rFonts w:ascii="方正楷体简体" w:hAnsi="方正楷体简体" w:eastAsia="方正楷体简体" w:cs="方正楷体简体"/>
          <w:sz w:val="28"/>
          <w:szCs w:val="28"/>
        </w:rPr>
        <w:t>万人，15-59岁（含不满60周岁）人口为</w:t>
      </w:r>
      <w:r>
        <w:rPr>
          <w:rFonts w:ascii="方正楷体简体" w:hAnsi="方正楷体简体" w:eastAsia="方正楷体简体" w:cs="方正楷体简体"/>
          <w:sz w:val="28"/>
          <w:szCs w:val="28"/>
          <w:lang w:val="en"/>
        </w:rPr>
        <w:t>30</w:t>
      </w:r>
      <w:r>
        <w:rPr>
          <w:rFonts w:hint="eastAsia" w:ascii="方正楷体简体" w:hAnsi="方正楷体简体" w:eastAsia="方正楷体简体" w:cs="方正楷体简体"/>
          <w:sz w:val="28"/>
          <w:szCs w:val="28"/>
          <w:lang w:val="en-US" w:eastAsia="zh-CN"/>
        </w:rPr>
        <w:t>25</w:t>
      </w:r>
      <w:r>
        <w:rPr>
          <w:rFonts w:ascii="方正楷体简体" w:hAnsi="方正楷体简体" w:eastAsia="方正楷体简体" w:cs="方正楷体简体"/>
          <w:sz w:val="28"/>
          <w:szCs w:val="28"/>
        </w:rPr>
        <w:t>万人。</w:t>
      </w:r>
    </w:p>
  </w:endnote>
  <w:endnote w:id="4">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农民工总量由国家统计局云南调查总队提供。</w:t>
      </w:r>
    </w:p>
  </w:endnote>
  <w:endnote w:id="5">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ascii="方正楷体简体" w:hAnsi="方正楷体简体" w:eastAsia="方正楷体简体" w:cs="方正楷体简体"/>
          <w:sz w:val="28"/>
          <w:szCs w:val="28"/>
        </w:rPr>
        <w:t xml:space="preserve"> 居民消费价格及相关价格指数由国家统计局云南调查总队提供。</w:t>
      </w:r>
      <w:r>
        <w:rPr>
          <w:rFonts w:hint="eastAsia" w:ascii="方正楷体简体" w:hAnsi="方正楷体简体" w:eastAsia="方正楷体简体" w:cs="方正楷体简体"/>
          <w:sz w:val="28"/>
          <w:szCs w:val="28"/>
        </w:rPr>
        <w:t xml:space="preserve"> </w:t>
      </w:r>
    </w:p>
  </w:endnote>
  <w:endnote w:id="6">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粮食总产量由国家统计局云南调查总队提供。</w:t>
      </w:r>
    </w:p>
  </w:endnote>
  <w:endnote w:id="7">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肉类产量、牛奶产量、禽蛋产量、生猪存栏出栏数由国家统计局云南调查总队提供。</w:t>
      </w:r>
    </w:p>
  </w:endnote>
  <w:endnote w:id="8">
    <w:p>
      <w:pPr>
        <w:pStyle w:val="9"/>
        <w:spacing w:line="42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xml:space="preserve">] </w:t>
      </w:r>
      <w:r>
        <w:rPr>
          <w:rFonts w:ascii="方正楷体简体" w:hAnsi="方正楷体简体" w:eastAsia="方正楷体简体" w:cs="方正楷体简体"/>
          <w:sz w:val="28"/>
          <w:szCs w:val="28"/>
        </w:rPr>
        <w:t>除</w:t>
      </w:r>
      <w:r>
        <w:rPr>
          <w:rFonts w:hint="eastAsia" w:ascii="方正楷体简体" w:hAnsi="方正楷体简体" w:eastAsia="方正楷体简体" w:cs="方正楷体简体"/>
          <w:sz w:val="28"/>
          <w:szCs w:val="28"/>
        </w:rPr>
        <w:t>中药材</w:t>
      </w:r>
      <w:r>
        <w:rPr>
          <w:rFonts w:hint="eastAsia" w:ascii="方正楷体简体" w:hAnsi="方正楷体简体" w:eastAsia="方正楷体简体" w:cs="方正楷体简体"/>
          <w:sz w:val="28"/>
          <w:szCs w:val="28"/>
          <w:lang w:eastAsia="zh-CN"/>
        </w:rPr>
        <w:t>、水产品</w:t>
      </w:r>
      <w:r>
        <w:rPr>
          <w:rFonts w:hint="eastAsia" w:ascii="方正楷体简体" w:hAnsi="方正楷体简体" w:eastAsia="方正楷体简体" w:cs="方正楷体简体"/>
          <w:sz w:val="28"/>
          <w:szCs w:val="28"/>
        </w:rPr>
        <w:t>为快报数</w:t>
      </w:r>
      <w:r>
        <w:rPr>
          <w:rFonts w:ascii="方正楷体简体" w:hAnsi="方正楷体简体" w:eastAsia="方正楷体简体" w:cs="方正楷体简体"/>
          <w:sz w:val="28"/>
          <w:szCs w:val="28"/>
        </w:rPr>
        <w:t>外，其余农产品产量均为</w:t>
      </w:r>
      <w:r>
        <w:rPr>
          <w:rFonts w:hint="eastAsia" w:ascii="方正楷体简体" w:hAnsi="方正楷体简体" w:eastAsia="方正楷体简体" w:cs="方正楷体简体"/>
          <w:sz w:val="28"/>
          <w:szCs w:val="28"/>
        </w:rPr>
        <w:t>年</w:t>
      </w:r>
      <w:r>
        <w:rPr>
          <w:rFonts w:ascii="方正楷体简体" w:hAnsi="方正楷体简体" w:eastAsia="方正楷体简体" w:cs="方正楷体简体"/>
          <w:sz w:val="28"/>
          <w:szCs w:val="28"/>
        </w:rPr>
        <w:t>报数。</w:t>
      </w:r>
    </w:p>
  </w:endnote>
  <w:endnote w:id="9">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规模以上工业是指年主营业务收入2000万元及以上的工业法人单位。</w:t>
      </w:r>
    </w:p>
  </w:endnote>
  <w:endnote w:id="10">
    <w:p>
      <w:pPr>
        <w:pStyle w:val="9"/>
        <w:spacing w:line="400" w:lineRule="exact"/>
        <w:ind w:firstLine="560" w:firstLineChars="200"/>
        <w:jc w:val="both"/>
        <w:rPr>
          <w:rFonts w:eastAsia="方正楷体简体"/>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规模以上服务业是指年营业收入2000万元及以上的交通运输、仓储和邮政业，信息传输、软件和信息技术服务业，水利、环境和公共设施管理业，卫生行业法人单位；年营业收入1000万元及以上的房地产业（不含房地产开发经营），租赁和商务服务业，科学研究和技术服务业，教育行业法人单位；年营业收入500万元及以上的居民服务、修理和其他服务业，文化、体育和娱乐业，社会工作行业法人单位。</w:t>
      </w:r>
    </w:p>
  </w:endnote>
  <w:endnote w:id="11">
    <w:p>
      <w:pPr>
        <w:pStyle w:val="9"/>
        <w:spacing w:line="400" w:lineRule="exact"/>
        <w:ind w:firstLine="560" w:firstLineChars="200"/>
        <w:jc w:val="both"/>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固定资产投资（不含农户）是指城镇和农村非农户计划总投资500万元及以上的固定资产项目投资和房地产开发投资。</w:t>
      </w:r>
    </w:p>
  </w:endnote>
  <w:endnote w:id="12">
    <w:p>
      <w:pPr>
        <w:pStyle w:val="9"/>
        <w:spacing w:line="400" w:lineRule="exact"/>
        <w:ind w:firstLine="560" w:firstLineChars="200"/>
        <w:jc w:val="both"/>
        <w:rPr>
          <w:rFonts w:hint="eastAsia" w:ascii="方正楷体简体" w:hAnsi="方正楷体简体" w:eastAsia="方正楷体简体" w:cs="方正楷体简体"/>
          <w:sz w:val="28"/>
          <w:szCs w:val="28"/>
          <w:lang w:eastAsia="zh-CN"/>
        </w:rPr>
      </w:pPr>
      <w:r>
        <w:rPr>
          <w:rFonts w:ascii="方正楷体简体" w:hAnsi="方正楷体简体" w:eastAsia="方正楷体简体" w:cs="方正楷体简体"/>
          <w:sz w:val="28"/>
          <w:szCs w:val="28"/>
        </w:rPr>
        <w:t>[</w:t>
      </w:r>
      <w:r>
        <w:rPr>
          <w:rFonts w:ascii="方正楷体简体" w:hAnsi="方正楷体简体" w:eastAsia="方正楷体简体" w:cs="方正楷体简体"/>
          <w:sz w:val="28"/>
          <w:szCs w:val="28"/>
        </w:rPr>
        <w:endnoteRef/>
      </w:r>
      <w:r>
        <w:rPr>
          <w:rFonts w:ascii="方正楷体简体" w:hAnsi="方正楷体简体" w:eastAsia="方正楷体简体" w:cs="方正楷体简体"/>
          <w:sz w:val="28"/>
          <w:szCs w:val="28"/>
        </w:rPr>
        <w:t xml:space="preserve">] </w:t>
      </w:r>
      <w:r>
        <w:rPr>
          <w:rFonts w:hint="eastAsia" w:ascii="方正楷体简体" w:hAnsi="方正楷体简体" w:eastAsia="方正楷体简体" w:cs="方正楷体简体"/>
          <w:sz w:val="28"/>
          <w:szCs w:val="28"/>
          <w:lang w:eastAsia="zh-CN"/>
        </w:rPr>
        <w:t>产业投资是指三次产业中生产经营性行业完成的固定资产投资，其统计范围是：农林牧渔业，工业，建筑业，批发和零售业，住宿和餐饮业，信息传输、软件和信息技术服务业，金融业，租赁和商务服务业，科学研究和技术服务业，居民服务、修理和其他服务业，文化、体育和娱乐业。</w:t>
      </w:r>
    </w:p>
  </w:endnote>
  <w:endnote w:id="13">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限额以上批发企业是指年主营业务收入2000万元及以上的批发企业；限额以上零售企业是指年主营业务收入500万元及以上的零售企业。</w:t>
      </w:r>
    </w:p>
  </w:endnote>
  <w:endnote w:id="14">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lang w:val="en-US" w:eastAsia="zh-CN"/>
        </w:rPr>
        <w:t xml:space="preserve"> </w:t>
      </w:r>
      <w:r>
        <w:rPr>
          <w:rFonts w:hint="eastAsia" w:ascii="方正楷体简体" w:hAnsi="方正楷体简体" w:eastAsia="方正楷体简体" w:cs="方正楷体简体"/>
          <w:sz w:val="28"/>
          <w:szCs w:val="28"/>
        </w:rPr>
        <w:t>邮政行业寄递业务总量是指企业从事各类邮政普遍服务业务、快递业务的总数量。</w:t>
      </w:r>
    </w:p>
  </w:endnote>
  <w:endnote w:id="15">
    <w:p>
      <w:pPr>
        <w:pStyle w:val="9"/>
        <w:spacing w:line="42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电信业务总量以</w:t>
      </w:r>
      <w:r>
        <w:rPr>
          <w:rFonts w:hint="eastAsia" w:ascii="方正楷体简体" w:hAnsi="方正楷体简体" w:eastAsia="方正楷体简体" w:cs="方正楷体简体"/>
          <w:sz w:val="28"/>
          <w:szCs w:val="28"/>
          <w:lang w:eastAsia="zh-CN"/>
        </w:rPr>
        <w:t>上</w:t>
      </w:r>
      <w:r>
        <w:rPr>
          <w:rFonts w:hint="eastAsia" w:ascii="方正楷体简体" w:hAnsi="方正楷体简体" w:eastAsia="方正楷体简体" w:cs="方正楷体简体"/>
          <w:sz w:val="28"/>
          <w:szCs w:val="28"/>
        </w:rPr>
        <w:t>年不变单价计算。</w:t>
      </w:r>
    </w:p>
  </w:endnote>
  <w:endnote w:id="16">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艺术表演团体为国有文艺院团数。</w:t>
      </w:r>
    </w:p>
  </w:endnote>
  <w:endnote w:id="17">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总诊疗人次指所有诊疗工作的总人次数，包括门诊、急诊、出诊、预约诊疗、单项健康检查、健康咨询指导（不含健康讲座）人次。</w:t>
      </w:r>
    </w:p>
  </w:endnote>
  <w:endnote w:id="18">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出院人数指报告期内所有住院后出院的人数，包括医嘱离院、医嘱转其他医疗机构、非医嘱离院、死亡及其他人数，不含家庭病床撤床人数。</w:t>
      </w:r>
    </w:p>
  </w:endnote>
  <w:endnote w:id="19">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居民人均可支配收入数据由国家统计局云南调查总队提供。居民人均可支配收入指通过住户收支与生活状况调查取得的，调查户在调查期内获得的、可用于最终消费支出和储蓄的总和，即调查户可以用来自由支配的收入，除以家庭常住人口得到的人均收入。可支配收入既包括现金，也包括实物收入。按照收入的来源，可支配收入包含四项，分别为：工资性收入、经营净收入、财产净收入、转移净收入。按常住地分，得到城镇和农村居民可支配收入。</w:t>
      </w:r>
    </w:p>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计算公式为：</w:t>
      </w:r>
    </w:p>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可支配收入=工资性收入+经营净收入+财产净收入+转移净收入</w:t>
      </w:r>
    </w:p>
    <w:p>
      <w:pPr>
        <w:pStyle w:val="9"/>
        <w:spacing w:line="400" w:lineRule="exact"/>
        <w:ind w:firstLine="560" w:firstLineChars="200"/>
        <w:jc w:val="both"/>
        <w:rPr>
          <w:rFonts w:ascii="方正楷体简体" w:hAnsi="方正楷体简体" w:eastAsia="方正楷体简体" w:cs="方正楷体简体"/>
          <w:spacing w:val="-6"/>
          <w:sz w:val="28"/>
          <w:szCs w:val="28"/>
        </w:rPr>
      </w:pPr>
      <w:r>
        <w:rPr>
          <w:rFonts w:hint="eastAsia" w:ascii="方正楷体简体" w:hAnsi="方正楷体简体" w:eastAsia="方正楷体简体" w:cs="方正楷体简体"/>
          <w:sz w:val="28"/>
          <w:szCs w:val="28"/>
        </w:rPr>
        <w:t>其中：</w:t>
      </w:r>
      <w:r>
        <w:rPr>
          <w:rFonts w:hint="eastAsia" w:ascii="方正楷体简体" w:hAnsi="方正楷体简体" w:eastAsia="方正楷体简体" w:cs="方正楷体简体"/>
          <w:spacing w:val="-6"/>
          <w:sz w:val="28"/>
          <w:szCs w:val="28"/>
        </w:rPr>
        <w:t>经营净收入=经营收入-经营费用-生产性固定资产-折旧生产税</w:t>
      </w:r>
    </w:p>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 xml:space="preserve">    财产净收入=财产性收入-财产性支出</w:t>
      </w:r>
    </w:p>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 xml:space="preserve">    转移净收入=转移性收入-转移性支出</w:t>
      </w:r>
    </w:p>
  </w:endnote>
  <w:endnote w:id="20">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脱贫县包括原集中连片特困地区和片区外的国家扶贫开发工作重点县，共有88个县。</w:t>
      </w:r>
    </w:p>
  </w:endnote>
  <w:endnote w:id="21">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w:t>
      </w:r>
      <w:r>
        <w:rPr>
          <w:rFonts w:hint="eastAsia" w:ascii="方正楷体简体" w:hAnsi="方正楷体简体" w:eastAsia="方正楷体简体" w:cs="方正楷体简体"/>
          <w:sz w:val="28"/>
          <w:szCs w:val="28"/>
        </w:rPr>
        <w:endnoteRef/>
      </w:r>
      <w:r>
        <w:rPr>
          <w:rFonts w:hint="eastAsia" w:ascii="方正楷体简体" w:hAnsi="方正楷体简体" w:eastAsia="方正楷体简体" w:cs="方正楷体简体"/>
          <w:sz w:val="28"/>
          <w:szCs w:val="28"/>
        </w:rPr>
        <w:t>] 居民人均消费支出数据由国家统计局云南调查总队提供。居民人均消费支出指住户在调查期间内用于满足家庭日常生活消费需要的全部支出，包括用于消费品的支出和用于服务性消费的支出，除以家庭常住人口得到的人均支出。根据用途不同，消费支出可划分为食品烟酒、衣着、居住、生活用品及服务、交通通信、教育文化娱乐、医疗保健、其他用品及服务八大类。根据来源不同，消费支出可划分为现金消费支出、实物消费支出（含自产自用、来自单位、来自政府和其他社会组织）。按常住地分，得到城镇和农村居民消费支出。</w:t>
      </w:r>
    </w:p>
    <w:p>
      <w:pPr>
        <w:pStyle w:val="9"/>
        <w:spacing w:line="400" w:lineRule="exact"/>
        <w:ind w:firstLine="560" w:firstLineChars="200"/>
        <w:jc w:val="both"/>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[2</w:t>
      </w:r>
      <w:r>
        <w:rPr>
          <w:rFonts w:hint="eastAsia" w:ascii="方正楷体简体" w:hAnsi="方正楷体简体" w:eastAsia="方正楷体简体" w:cs="方正楷体简体"/>
          <w:sz w:val="28"/>
          <w:szCs w:val="28"/>
          <w:lang w:val="en-US" w:eastAsia="zh-CN"/>
        </w:rPr>
        <w:t>3</w:t>
      </w:r>
      <w:r>
        <w:rPr>
          <w:rFonts w:hint="eastAsia" w:ascii="方正楷体简体" w:hAnsi="方正楷体简体" w:eastAsia="方正楷体简体" w:cs="方正楷体简体"/>
          <w:sz w:val="28"/>
          <w:szCs w:val="28"/>
        </w:rPr>
        <w:t>] 公报中财政、对外经济、交通运输、邮政、电信、金融、保险、证券、教育、科技、文化、卫生、体育、水利、林业、环境保护、应急管理、社会保障等数据来源于相关部门。</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szCs w:val="24"/>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descr="7b0a20202020227461726765744964223a202270726f636573734f6e6c696e6554657874426f78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autoSpaceDE/>
                            <w:autoSpaceDN/>
                            <w:bidi w:val="0"/>
                            <w:adjustRightInd/>
                            <w:snapToGrid w:val="0"/>
                            <w:ind w:right="315" w:rightChars="150"/>
                            <w:textAlignment w:val="auto"/>
                            <w:rPr>
                              <w:rFonts w:ascii="Batang" w:hAnsi="Batang" w:eastAsia="Batang" w:cs="Batang"/>
                              <w:sz w:val="28"/>
                              <w:szCs w:val="28"/>
                            </w:rPr>
                          </w:pPr>
                          <w:r>
                            <w:rPr>
                              <w:rFonts w:hint="eastAsia" w:ascii="Batang" w:hAnsi="Batang" w:eastAsia="Batang" w:cs="Batang"/>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Batang" w:hAnsi="Batang" w:eastAsia="Batang" w:cs="Batang"/>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alt="7b0a20202020227461726765744964223a202270726f636573734f6e6c696e6554657874426f78220a7d0a"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0lY7tAAAAAFAQAADwAAAAAAAAABACAAAAAiAAAAZHJzL2Rvd25yZXYueG1sUEsB&#10;AhQAFAAAAAgAh07iQNJuey9vAgAAtgQAAA4AAAAAAAAAAQAgAAAAHwEAAGRycy9lMm9Eb2MueG1s&#10;UEsFBgAAAAAGAAYAWQEAAAAGA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autoSpaceDE/>
                      <w:autoSpaceDN/>
                      <w:bidi w:val="0"/>
                      <w:adjustRightInd/>
                      <w:snapToGrid w:val="0"/>
                      <w:ind w:right="315" w:rightChars="150"/>
                      <w:textAlignment w:val="auto"/>
                      <w:rPr>
                        <w:rFonts w:ascii="Batang" w:hAnsi="Batang" w:eastAsia="Batang" w:cs="Batang"/>
                        <w:sz w:val="28"/>
                        <w:szCs w:val="28"/>
                      </w:rPr>
                    </w:pPr>
                    <w:r>
                      <w:rPr>
                        <w:rFonts w:hint="eastAsia" w:ascii="Batang" w:hAnsi="Batang" w:eastAsia="Batang" w:cs="Batang"/>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Batang" w:hAnsi="Batang" w:eastAsia="Batang" w:cs="Batang"/>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315" w:leftChars="150" w:right="850"/>
      <w:textAlignment w:val="auto"/>
      <w:rPr>
        <w:rStyle w:val="15"/>
        <w:rFonts w:hint="eastAsia" w:asciiTheme="minorEastAsia" w:hAnsiTheme="minorEastAsia" w:eastAsiaTheme="minorEastAsia" w:cstheme="minorEastAsia"/>
        <w:sz w:val="28"/>
        <w:szCs w:val="28"/>
        <w:lang w:eastAsia="zh-CN"/>
      </w:rPr>
    </w:pPr>
    <w:r>
      <w:rPr>
        <w:rStyle w:val="15"/>
        <w:rFonts w:hint="eastAsia" w:asciiTheme="minorEastAsia" w:hAnsiTheme="minorEastAsia" w:eastAsiaTheme="minorEastAsia" w:cstheme="minorEastAsia"/>
        <w:sz w:val="28"/>
        <w:szCs w:val="28"/>
        <w:lang w:eastAsia="zh-CN"/>
      </w:rPr>
      <w:t>—</w:t>
    </w:r>
    <w:r>
      <w:rPr>
        <w:rStyle w:val="15"/>
        <w:rFonts w:hint="eastAsia" w:asciiTheme="minorEastAsia" w:hAnsiTheme="minorEastAsia" w:eastAsiaTheme="minorEastAsia" w:cstheme="minorEastAsia"/>
        <w:sz w:val="28"/>
        <w:szCs w:val="28"/>
        <w:lang w:val="en-US" w:eastAsia="zh-CN"/>
      </w:rPr>
      <w:t xml:space="preserve"> </w:t>
    </w:r>
    <w:r>
      <w:rPr>
        <w:rStyle w:val="15"/>
        <w:rFonts w:hint="eastAsia" w:asciiTheme="minorEastAsia" w:hAnsiTheme="minorEastAsia" w:eastAsiaTheme="minorEastAsia" w:cstheme="minorEastAsia"/>
        <w:sz w:val="28"/>
        <w:szCs w:val="28"/>
      </w:rPr>
      <w:fldChar w:fldCharType="begin"/>
    </w:r>
    <w:r>
      <w:rPr>
        <w:rStyle w:val="15"/>
        <w:rFonts w:hint="eastAsia" w:asciiTheme="minorEastAsia" w:hAnsiTheme="minorEastAsia" w:eastAsiaTheme="minorEastAsia" w:cstheme="minorEastAsia"/>
        <w:sz w:val="28"/>
        <w:szCs w:val="28"/>
      </w:rPr>
      <w:instrText xml:space="preserve">PAGE  </w:instrText>
    </w:r>
    <w:r>
      <w:rPr>
        <w:rStyle w:val="15"/>
        <w:rFonts w:hint="eastAsia" w:asciiTheme="minorEastAsia" w:hAnsiTheme="minorEastAsia" w:eastAsiaTheme="minorEastAsia" w:cstheme="minorEastAsia"/>
        <w:sz w:val="28"/>
        <w:szCs w:val="28"/>
      </w:rPr>
      <w:fldChar w:fldCharType="end"/>
    </w:r>
    <w:r>
      <w:rPr>
        <w:rStyle w:val="15"/>
        <w:rFonts w:hint="eastAsia" w:asciiTheme="minorEastAsia" w:hAnsiTheme="minorEastAsia" w:eastAsiaTheme="minorEastAsia" w:cstheme="minorEastAsia"/>
        <w:sz w:val="28"/>
        <w:szCs w:val="28"/>
        <w:lang w:val="en-US" w:eastAsia="zh-CN"/>
      </w:rPr>
      <w:t xml:space="preserve"> </w:t>
    </w:r>
    <w:r>
      <w:rPr>
        <w:rStyle w:val="15"/>
        <w:rFonts w:hint="eastAsia" w:asciiTheme="minorEastAsia" w:hAnsiTheme="minorEastAsia" w:eastAsiaTheme="minorEastAsia" w:cstheme="minorEastAsia"/>
        <w:sz w:val="28"/>
        <w:szCs w:val="28"/>
        <w:lang w:eastAsia="zh-CN"/>
      </w:rPr>
      <w:t>—</w:t>
    </w:r>
  </w:p>
  <w:p>
    <w:pPr>
      <w:pStyle w:val="10"/>
      <w:keepNext w:val="0"/>
      <w:keepLines w:val="0"/>
      <w:pageBreakBefore w:val="0"/>
      <w:widowControl w:val="0"/>
      <w:kinsoku/>
      <w:wordWrap/>
      <w:overflowPunct/>
      <w:topLinePunct w:val="0"/>
      <w:autoSpaceDE/>
      <w:autoSpaceDN/>
      <w:bidi w:val="0"/>
      <w:adjustRightInd/>
      <w:snapToGrid w:val="0"/>
      <w:ind w:left="315" w:leftChars="150" w:right="850" w:firstLine="360"/>
      <w:textAlignment w:val="auto"/>
      <w:rPr>
        <w:rFonts w:hint="eastAsia" w:asciiTheme="minorEastAsia" w:hAnsiTheme="minorEastAsia" w:eastAsiaTheme="minorEastAsia" w:cs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evenAndOddHeaders w:val="1"/>
  <w:drawingGridVerticalSpacing w:val="156"/>
  <w:displayHorizontalDrawingGridEvery w:val="0"/>
  <w:displayVerticalDrawingGridEvery w:val="2"/>
  <w:characterSpacingControl w:val="compressPunctuation"/>
  <w:endnotePr>
    <w:numFmt w:val="decimal"/>
    <w:endnote w:id="44"/>
    <w:endnote w:id="45"/>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N2NiNmYwMTVlMDhlZTM1MDJmZWNjZDZmNDU5ZWYifQ=="/>
    <w:docVar w:name="KSO_WPS_MARK_KEY" w:val="ce46d27c-e5cf-49de-b9a3-42fad0205fe4"/>
  </w:docVars>
  <w:rsids>
    <w:rsidRoot w:val="79FC3F44"/>
    <w:rsid w:val="018B1C01"/>
    <w:rsid w:val="08597B81"/>
    <w:rsid w:val="0A677C5E"/>
    <w:rsid w:val="0C690ED5"/>
    <w:rsid w:val="246350E9"/>
    <w:rsid w:val="2B346D89"/>
    <w:rsid w:val="35F73731"/>
    <w:rsid w:val="3758147E"/>
    <w:rsid w:val="420C3BE3"/>
    <w:rsid w:val="4631143E"/>
    <w:rsid w:val="46556128"/>
    <w:rsid w:val="47552E65"/>
    <w:rsid w:val="4BC11489"/>
    <w:rsid w:val="4F9C63F7"/>
    <w:rsid w:val="51F2244F"/>
    <w:rsid w:val="52884ADC"/>
    <w:rsid w:val="54B51D52"/>
    <w:rsid w:val="57124FF4"/>
    <w:rsid w:val="58BF28C3"/>
    <w:rsid w:val="58F373E6"/>
    <w:rsid w:val="5D361E7D"/>
    <w:rsid w:val="5D436246"/>
    <w:rsid w:val="5DC52050"/>
    <w:rsid w:val="60D4712E"/>
    <w:rsid w:val="61E15FB7"/>
    <w:rsid w:val="62E0626E"/>
    <w:rsid w:val="725E4ABA"/>
    <w:rsid w:val="79D44E4D"/>
    <w:rsid w:val="79FC3F44"/>
    <w:rsid w:val="7A2C3ED1"/>
    <w:rsid w:val="7B144765"/>
    <w:rsid w:val="7B4D1813"/>
    <w:rsid w:val="EDBC0293"/>
    <w:rsid w:val="FFF90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qFormat="1" w:uiPriority="99" w:semiHidden="0" w:name="endnote reference"/>
    <w:lsdException w:qFormat="1" w:uiPriority="99"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7">
    <w:name w:val="heading 1"/>
    <w:basedOn w:val="1"/>
    <w:next w:val="1"/>
    <w:autoRedefine/>
    <w:qFormat/>
    <w:uiPriority w:val="0"/>
    <w:pPr>
      <w:spacing w:line="600" w:lineRule="exact"/>
      <w:jc w:val="center"/>
      <w:outlineLvl w:val="0"/>
    </w:pPr>
    <w:rPr>
      <w:rFonts w:ascii="宋体" w:hAnsi="宋体" w:eastAsia="方正小标宋_GBK" w:cs="方正小标宋_GBK"/>
      <w:sz w:val="44"/>
      <w:szCs w:val="44"/>
    </w:rPr>
  </w:style>
  <w:style w:type="character" w:default="1" w:styleId="13">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
    <w:basedOn w:val="4"/>
    <w:next w:val="2"/>
    <w:autoRedefine/>
    <w:qFormat/>
    <w:uiPriority w:val="0"/>
    <w:rPr>
      <w:rFonts w:ascii="Calibri" w:hAnsi="Calibri" w:eastAsia="宋体" w:cs="黑体"/>
      <w:sz w:val="21"/>
      <w:szCs w:val="24"/>
    </w:rPr>
  </w:style>
  <w:style w:type="paragraph" w:customStyle="1" w:styleId="4">
    <w:name w:val="正文 New"/>
    <w:next w:val="5"/>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5">
    <w:name w:val="图表目录2"/>
    <w:basedOn w:val="6"/>
    <w:next w:val="6"/>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qFormat/>
    <w:uiPriority w:val="0"/>
    <w:pPr>
      <w:widowControl w:val="0"/>
      <w:jc w:val="both"/>
    </w:pPr>
    <w:rPr>
      <w:rFonts w:ascii="Calibri" w:hAnsi="Calibri" w:eastAsia="宋体" w:cs="黑体"/>
      <w:kern w:val="2"/>
      <w:sz w:val="21"/>
      <w:szCs w:val="24"/>
      <w:lang w:val="en-US" w:eastAsia="zh-CN" w:bidi="ar-SA"/>
    </w:rPr>
  </w:style>
  <w:style w:type="paragraph" w:styleId="8">
    <w:name w:val="toa heading"/>
    <w:basedOn w:val="1"/>
    <w:next w:val="1"/>
    <w:semiHidden/>
    <w:qFormat/>
    <w:uiPriority w:val="0"/>
    <w:pPr>
      <w:spacing w:before="120" w:line="580" w:lineRule="exact"/>
      <w:ind w:firstLine="880" w:firstLineChars="200"/>
    </w:pPr>
    <w:rPr>
      <w:rFonts w:ascii="Cambria" w:hAnsi="Cambria"/>
      <w:sz w:val="24"/>
      <w:szCs w:val="24"/>
    </w:rPr>
  </w:style>
  <w:style w:type="paragraph" w:styleId="9">
    <w:name w:val="endnote text"/>
    <w:basedOn w:val="1"/>
    <w:unhideWhenUsed/>
    <w:qFormat/>
    <w:uiPriority w:val="99"/>
    <w:pPr>
      <w:snapToGrid w:val="0"/>
      <w:jc w:val="left"/>
    </w:p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4">
    <w:name w:val="endnote reference"/>
    <w:basedOn w:val="13"/>
    <w:unhideWhenUsed/>
    <w:qFormat/>
    <w:uiPriority w:val="99"/>
    <w:rPr>
      <w:vertAlign w:val="superscript"/>
    </w:rPr>
  </w:style>
  <w:style w:type="character" w:styleId="15">
    <w:name w:val="page number"/>
    <w:basedOn w:val="13"/>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云南省统计局</Company>
  <Pages>24</Pages>
  <Words>6847</Words>
  <Characters>9601</Characters>
  <Lines>0</Lines>
  <Paragraphs>0</Paragraphs>
  <TotalTime>218</TotalTime>
  <ScaleCrop>false</ScaleCrop>
  <LinksUpToDate>false</LinksUpToDate>
  <CharactersWithSpaces>10142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2021-03-03T01:16:00Z</dcterms:created>
  <dc:creator>lenovo</dc:creator>
  <cp:lastModifiedBy>GBB</cp:lastModifiedBy>
  <cp:lastPrinted>2024-03-28T03:27:00Z</cp:lastPrinted>
  <dcterms:modified xsi:type="dcterms:W3CDTF">2024-03-29T00:48:30Z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5BC5538B04A64E27819CD5CBF64DA71C_13</vt:lpwstr>
  </property>
</Properties>
</file>