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rPr>
          <w:rFonts w:hint="eastAsia"/>
        </w:rPr>
      </w:pPr>
      <w:r>
        <w:rPr>
          <w:rFonts w:hint="eastAsia"/>
        </w:rPr>
        <w:t>主要统计指标解释</w:t>
      </w:r>
    </w:p>
    <w:p>
      <w:pPr>
        <w:pStyle w:val="4"/>
        <w:bidi w:val="0"/>
        <w:rPr>
          <w:rFonts w:hint="eastAsia"/>
        </w:rPr>
      </w:pPr>
      <w:r>
        <w:rPr>
          <w:rFonts w:hint="eastAsia"/>
        </w:rPr>
        <w:t>建筑业统计单位  指从事房屋、构筑物建造和设备安装活动的法人企业。 建筑业法人企业应具有建筑业资质并能够独立核算，同时还应具备以下条件：①依法成立，有自己的名称、组织机构和场所，能够承担民事责任；②独立拥有和使用资产，承担负债，有权与其他单位签订合同；③独立核算盈亏，能够编制资产负债表。</w:t>
      </w:r>
    </w:p>
    <w:p>
      <w:pPr>
        <w:pStyle w:val="4"/>
        <w:bidi w:val="0"/>
        <w:rPr>
          <w:rFonts w:hint="eastAsia"/>
        </w:rPr>
      </w:pPr>
      <w:r>
        <w:rPr>
          <w:rFonts w:hint="eastAsia"/>
        </w:rPr>
        <w:t>建筑业总产值  是以货币形式表现的建筑业企业在一定时期内生产的建筑业产品和提供服务的总和。</w:t>
      </w:r>
    </w:p>
    <w:p>
      <w:pPr>
        <w:pStyle w:val="4"/>
        <w:bidi w:val="0"/>
        <w:rPr>
          <w:rFonts w:hint="eastAsia"/>
        </w:rPr>
      </w:pPr>
      <w:r>
        <w:rPr>
          <w:rFonts w:hint="eastAsia"/>
        </w:rPr>
        <w:t>建筑业总产值包括：</w:t>
      </w:r>
    </w:p>
    <w:p>
      <w:pPr>
        <w:pStyle w:val="4"/>
        <w:bidi w:val="0"/>
        <w:rPr>
          <w:rFonts w:hint="eastAsia"/>
        </w:rPr>
      </w:pPr>
      <w:r>
        <w:rPr>
          <w:rFonts w:hint="eastAsia"/>
        </w:rPr>
        <w:t>（1）建筑工程产值：指列入建筑工程预算内的各种工程价值。</w:t>
      </w:r>
    </w:p>
    <w:p>
      <w:pPr>
        <w:pStyle w:val="4"/>
        <w:bidi w:val="0"/>
        <w:rPr>
          <w:rFonts w:hint="eastAsia"/>
        </w:rPr>
      </w:pPr>
      <w:r>
        <w:rPr>
          <w:rFonts w:hint="eastAsia"/>
        </w:rPr>
        <w:t>（2）安装工程产值：指设备安装工程价值，不包括被安装设备本身的价值。</w:t>
      </w:r>
    </w:p>
    <w:p>
      <w:pPr>
        <w:pStyle w:val="4"/>
        <w:bidi w:val="0"/>
        <w:rPr>
          <w:rFonts w:hint="eastAsia"/>
        </w:rPr>
      </w:pPr>
      <w:r>
        <w:rPr>
          <w:rFonts w:hint="eastAsia"/>
        </w:rPr>
        <w:t>（3）其他产值：建筑业总产值中除建筑工程、安装工程以外的产值。包括房屋构筑物修理产值、非标准设备制造产值、总包企业向分包企业收取的管理费，以及不能明确划分的施工活动所完成的产值。</w:t>
      </w:r>
    </w:p>
    <w:p>
      <w:pPr>
        <w:pStyle w:val="4"/>
        <w:bidi w:val="0"/>
        <w:rPr>
          <w:rFonts w:hint="eastAsia"/>
        </w:rPr>
      </w:pPr>
      <w:r>
        <w:rPr>
          <w:rFonts w:hint="eastAsia"/>
        </w:rPr>
        <w:t>a.房屋构筑物修理产值：指房屋和构筑物修理所完成的产值，但不包括被修理房屋、构筑物本身价值和生产设备的修理价值。</w:t>
      </w:r>
    </w:p>
    <w:p>
      <w:pPr>
        <w:pStyle w:val="4"/>
        <w:bidi w:val="0"/>
        <w:rPr>
          <w:rFonts w:hint="eastAsia"/>
        </w:rPr>
      </w:pPr>
      <w:r>
        <w:rPr>
          <w:rFonts w:hint="eastAsia"/>
        </w:rPr>
        <w:t>b.非标准设备制造产值：指加工制造没有定型的非标准生产设备的加工费和原材料价值（如化工厂、炼油厂用的各种罐、槽，矿井生产统一使用的各种漏斗、三角槽、阀门等）以及附属加工厂为本企业承担工程制作的非标准设备的价值。</w:t>
      </w:r>
    </w:p>
    <w:p>
      <w:pPr>
        <w:pStyle w:val="4"/>
        <w:bidi w:val="0"/>
        <w:rPr>
          <w:rFonts w:hint="eastAsia"/>
        </w:rPr>
      </w:pPr>
      <w:r>
        <w:rPr>
          <w:rFonts w:hint="eastAsia"/>
        </w:rPr>
        <w:t>房屋施工面积  指在报告期内施工的全部房屋建筑面积，包括本期新开工的房屋面积、上期施工跨入本期继续施工的房屋面积、上期停缓建在本期恢复施工的房屋面积、本期竣工的房屋面积及本期施工后又停缓建的房屋面积。</w:t>
      </w:r>
    </w:p>
    <w:p>
      <w:pPr>
        <w:pStyle w:val="4"/>
        <w:bidi w:val="0"/>
        <w:rPr>
          <w:rFonts w:hint="eastAsia"/>
        </w:rPr>
      </w:pPr>
      <w:r>
        <w:rPr>
          <w:rFonts w:hint="eastAsia"/>
        </w:rPr>
        <w:t>房屋竣工面积  指在报告期内房屋建筑按照设计要求全部完工，达到了住人和使用条件，经验收鉴定合格，正式移交使用单位的房屋建筑面积。</w:t>
      </w:r>
    </w:p>
    <w:p>
      <w:pPr>
        <w:pStyle w:val="4"/>
        <w:bidi w:val="0"/>
        <w:rPr>
          <w:rFonts w:hint="eastAsia"/>
        </w:rPr>
      </w:pPr>
      <w:r>
        <w:rPr>
          <w:rFonts w:hint="eastAsia"/>
        </w:rPr>
        <w:t>营业收入  指企业经营主要业务和其他业务所确认的收入总额。包括主营业务收入与其他业务收入。</w:t>
      </w:r>
    </w:p>
    <w:p>
      <w:pPr>
        <w:pStyle w:val="4"/>
        <w:bidi w:val="0"/>
        <w:rPr>
          <w:rFonts w:hint="eastAsia"/>
        </w:rPr>
      </w:pPr>
      <w:r>
        <w:rPr>
          <w:rFonts w:hint="eastAsia"/>
        </w:rPr>
        <w:t>主营业务收入  指企业确认的销售商品、提供服务等主营业务收入。</w:t>
      </w:r>
    </w:p>
    <w:p>
      <w:pPr>
        <w:pStyle w:val="4"/>
        <w:bidi w:val="0"/>
        <w:rPr>
          <w:rFonts w:hint="eastAsia"/>
        </w:rPr>
      </w:pPr>
      <w:r>
        <w:rPr>
          <w:rFonts w:hint="eastAsia"/>
        </w:rPr>
        <w:t>利润总额  指企业在一定会计期间的经营成果，是生产经营过程中各种收入扣除各种耗费后的盈余，反应企业在报告期内实现的盈亏总额。</w:t>
      </w:r>
    </w:p>
    <w:p>
      <w:pPr>
        <w:pStyle w:val="4"/>
        <w:bidi w:val="0"/>
        <w:rPr>
          <w:rFonts w:hint="eastAsia"/>
        </w:rPr>
      </w:pPr>
      <w:r>
        <w:rPr>
          <w:rFonts w:hint="eastAsia"/>
        </w:rPr>
        <w:t>产值利税率  是指报告期内企业实现的利润总额与上缴税金的和占同期建筑业总产值的百分比。</w:t>
      </w:r>
    </w:p>
    <w:p>
      <w:pPr>
        <w:pStyle w:val="4"/>
        <w:bidi w:val="0"/>
        <w:rPr>
          <w:rFonts w:hint="eastAsia"/>
        </w:rPr>
      </w:pPr>
      <w:r>
        <w:rPr>
          <w:rFonts w:hint="eastAsia"/>
        </w:rPr>
        <w:t>房地产开发投资  指各种登记注册类型的房地产开发法人单位统一开发的住宅、厂房、仓库、饭店、宾馆、度假村、写字楼、办公楼等房屋建筑物,配套的服务设施，土地开发工程（如道路、给水、排水、供电、供热、通讯、平整场地等基础设施工程）和土地购置的投资；不包括单纯的土地开发和交易活动。</w:t>
      </w:r>
    </w:p>
    <w:p>
      <w:pPr>
        <w:pStyle w:val="4"/>
        <w:bidi w:val="0"/>
        <w:rPr>
          <w:rFonts w:hint="eastAsia"/>
        </w:rPr>
      </w:pPr>
      <w:r>
        <w:rPr>
          <w:rFonts w:hint="eastAsia"/>
        </w:rPr>
        <w:t>商品房销售面积  指报告期内出售商品房屋的合同总面积(即双方签署的正式买卖合同中所确定的建筑面积)。商品房销售面积由现房销售建筑面积和期房销售建筑面积两部分组成。</w:t>
      </w:r>
    </w:p>
    <w:p>
      <w:pPr>
        <w:pStyle w:val="4"/>
        <w:bidi w:val="0"/>
        <w:rPr>
          <w:rFonts w:hint="eastAsia"/>
        </w:rPr>
      </w:pPr>
      <w:r>
        <w:rPr>
          <w:rFonts w:hint="eastAsia"/>
        </w:rPr>
        <w:t>商品房销售额  指报告期内出售商品房屋的合同总价款(即双方签署的正式买卖合同中所确定的合同总价)。该指标与商品房销售面积同口径，由现房销售额和期房销售额两部分组成。</w:t>
      </w:r>
    </w:p>
    <w:p>
      <w:pPr>
        <w:pStyle w:val="4"/>
        <w:bidi w:val="0"/>
        <w:rPr>
          <w:rFonts w:hint="eastAsia"/>
        </w:rPr>
      </w:pPr>
      <w:r>
        <w:rPr>
          <w:rFonts w:hint="eastAsia"/>
        </w:rPr>
        <w:t>不可销售面积  指报告期房地产公司竣工的用于拆迁还建的房屋面积；接受委托、定向开发建设，并收取一定的管理费所建设的统建代建房屋竣工面积；竣工的学校、幼儿园、派出所、居委会、商店等公益设施建筑面积。</w:t>
      </w:r>
    </w:p>
    <w:p>
      <w:pPr>
        <w:pStyle w:val="4"/>
        <w:bidi w:val="0"/>
        <w:rPr>
          <w:rFonts w:hint="eastAsia"/>
        </w:rPr>
      </w:pPr>
      <w:r>
        <w:rPr>
          <w:rFonts w:hint="eastAsia"/>
        </w:rPr>
        <w:t>待售面积  指报告期末已竣工的可供销售或出租的商品房屋建筑面积中，尚未销售或出租的商品房屋建筑面积，包括以前年度竣工和本期竣工的房屋面积，但不包括报告期已竣工的拆迁还建、统建代建、公共配套建筑、房地产公司自用及周转房等不可销售或出租的房屋面积。按照商品房待售时间的长短可以划分为待售一年以下、待售一至三年（含一年）和待售三年以上（含三年）。</w:t>
      </w: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default"/>
        </w:rPr>
      </w:pPr>
      <w:r>
        <w:rPr>
          <w:rFonts w:hint="default"/>
        </w:rPr>
        <w:t>Explanatory Notes on Principle Statistical Indicators</w:t>
      </w:r>
    </w:p>
    <w:p>
      <w:pPr>
        <w:pStyle w:val="4"/>
        <w:bidi w:val="0"/>
        <w:rPr>
          <w:rFonts w:hint="default"/>
        </w:rPr>
      </w:pPr>
      <w:r>
        <w:rPr>
          <w:rFonts w:hint="default"/>
        </w:rPr>
        <w:t xml:space="preserve">Statistical Unit in Construction Industry refers to a corporate enterprise engaged in the construction of buildings and structures and in the installation of equipment. A corporate construction enterprise should have qualification certificates with independent accounting system, and should meet the following 3 requirements: </w:t>
      </w:r>
      <w:r>
        <w:rPr>
          <w:rFonts w:hint="eastAsia"/>
        </w:rPr>
        <w:t>①</w:t>
      </w:r>
      <w:r>
        <w:rPr>
          <w:rFonts w:hint="default"/>
        </w:rPr>
        <w:t xml:space="preserve"> being set up in line with relevant legal basis, having its full name, organization and location, and capable of taking civil liabilities; </w:t>
      </w:r>
      <w:r>
        <w:rPr>
          <w:rFonts w:hint="eastAsia"/>
        </w:rPr>
        <w:t>②</w:t>
      </w:r>
      <w:r>
        <w:rPr>
          <w:rFonts w:hint="default"/>
        </w:rPr>
        <w:t xml:space="preserve"> independently possessing and using its assets and assuming its liabilities, and entitled to sign contracts with other institutions; </w:t>
      </w:r>
      <w:r>
        <w:rPr>
          <w:rFonts w:hint="eastAsia"/>
        </w:rPr>
        <w:t>③</w:t>
      </w:r>
      <w:r>
        <w:rPr>
          <w:rFonts w:hint="default"/>
        </w:rPr>
        <w:t xml:space="preserve"> making independent accounts of its profits and losses, and capable of compiling its own balance sheet.</w:t>
      </w:r>
    </w:p>
    <w:p>
      <w:pPr>
        <w:pStyle w:val="4"/>
        <w:bidi w:val="0"/>
        <w:rPr>
          <w:rFonts w:hint="default"/>
        </w:rPr>
      </w:pPr>
      <w:r>
        <w:rPr>
          <w:rFonts w:hint="default"/>
        </w:rPr>
        <w:t>Gross Output Value of Construction refers to total of construction products and services, expressed in money terms, produced or rendered by construction and installation enterprises during a given period of time. It includes:</w:t>
      </w:r>
    </w:p>
    <w:p>
      <w:pPr>
        <w:pStyle w:val="4"/>
        <w:bidi w:val="0"/>
        <w:rPr>
          <w:rFonts w:hint="default"/>
        </w:rPr>
      </w:pPr>
      <w:r>
        <w:rPr>
          <w:rFonts w:hint="default"/>
        </w:rPr>
        <w:t>Output value of construction projects: the value of projects covered by the project budgets;</w:t>
      </w:r>
    </w:p>
    <w:p>
      <w:pPr>
        <w:pStyle w:val="4"/>
        <w:bidi w:val="0"/>
        <w:rPr>
          <w:rFonts w:hint="default"/>
        </w:rPr>
      </w:pPr>
      <w:r>
        <w:rPr>
          <w:rFonts w:hint="default"/>
        </w:rPr>
        <w:t>Output value of installation projects: the value of the installation of equipment (excluding the value of the equipment to be installed);</w:t>
      </w:r>
    </w:p>
    <w:p>
      <w:pPr>
        <w:pStyle w:val="4"/>
        <w:bidi w:val="0"/>
        <w:rPr>
          <w:rFonts w:hint="default"/>
        </w:rPr>
      </w:pPr>
      <w:r>
        <w:rPr>
          <w:rFonts w:hint="default"/>
        </w:rPr>
        <w:t>Other output values: the output value of construction industry apart from that of construction projects and installation projects. It includes: output value of repair of buildings and structures; output value of non-standard equipment manufacturing; overhead expenses received by contracted enterprises from the sub-contracted enterprises and the completed output value of construction activities for which there is no clear definition.</w:t>
      </w:r>
    </w:p>
    <w:p>
      <w:pPr>
        <w:pStyle w:val="4"/>
        <w:bidi w:val="0"/>
        <w:rPr>
          <w:rFonts w:hint="default"/>
        </w:rPr>
      </w:pPr>
      <w:r>
        <w:rPr>
          <w:rFonts w:hint="default"/>
        </w:rPr>
        <w:t>a.Output value of repair of buildings and structures: the value created through the repair of building or structures. It does not include the value of buildings or structures being repaired and the value of the repair of production equipment.</w:t>
      </w:r>
    </w:p>
    <w:p>
      <w:pPr>
        <w:pStyle w:val="4"/>
        <w:bidi w:val="0"/>
        <w:rPr>
          <w:rFonts w:hint="default"/>
        </w:rPr>
      </w:pPr>
      <w:r>
        <w:rPr>
          <w:rFonts w:hint="default"/>
        </w:rPr>
        <w:t>b.Output value of manufactured non-standard equipment: the value of non-standard production equipment,including raw materials and manufacturing cost, made for the construction project(i.e., chemical plant; kettles or tanks used by refineries; various fillers, triangle tanks, valve used by mine). It also includes the output value of equipment manufactured by subsidiary workshops.</w:t>
      </w:r>
    </w:p>
    <w:p>
      <w:pPr>
        <w:pStyle w:val="4"/>
        <w:bidi w:val="0"/>
        <w:rPr>
          <w:rFonts w:hint="default"/>
        </w:rPr>
      </w:pPr>
      <w:r>
        <w:rPr>
          <w:rFonts w:hint="default"/>
        </w:rPr>
        <w:t>Floor Space of Buildings Under Construction refers to the floor space of buildings under construction during the report period, including newly started buildings, buildings started in the preceding period and continued during the current period, and buildings suspended in the preceding period but restarted in the current period, buildings completed during the current period, and buildings under construction and then suspended during the current period.</w:t>
      </w:r>
    </w:p>
    <w:p>
      <w:pPr>
        <w:pStyle w:val="4"/>
        <w:bidi w:val="0"/>
        <w:rPr>
          <w:rFonts w:hint="default"/>
        </w:rPr>
      </w:pPr>
      <w:r>
        <w:rPr>
          <w:rFonts w:hint="default"/>
        </w:rPr>
        <w:t>Floor Space of Buildings Completed refers to the floor space of buildings that are completed in the report period in accordance with the requirements of the design, up to the standard of putting them into use, and have been checked and accepted by concerned departments as qualified ones.</w:t>
      </w:r>
    </w:p>
    <w:p>
      <w:pPr>
        <w:pStyle w:val="4"/>
        <w:bidi w:val="0"/>
        <w:rPr>
          <w:rFonts w:hint="default"/>
        </w:rPr>
      </w:pPr>
      <w:r>
        <w:rPr>
          <w:rFonts w:hint="default"/>
        </w:rPr>
        <w:t>Operating Revenue refers to the sum of income from principal business and other business of enterprises, including income from settlement of projects and other operating income.</w:t>
      </w:r>
    </w:p>
    <w:p>
      <w:pPr>
        <w:pStyle w:val="4"/>
        <w:bidi w:val="0"/>
        <w:rPr>
          <w:rFonts w:hint="default"/>
        </w:rPr>
      </w:pPr>
      <w:r>
        <w:rPr>
          <w:rFonts w:hint="default"/>
        </w:rPr>
        <w:t xml:space="preserve">Main Business Income refers to the income recognized by an enterprise from main business such as sale of commodities and rendering of service. </w:t>
      </w:r>
    </w:p>
    <w:p>
      <w:pPr>
        <w:pStyle w:val="4"/>
        <w:bidi w:val="0"/>
        <w:rPr>
          <w:rFonts w:hint="default"/>
        </w:rPr>
      </w:pPr>
      <w:r>
        <w:rPr>
          <w:rFonts w:hint="default"/>
        </w:rPr>
        <w:t>Total Profits refer to the operating result of an enterprise in certain accounting period. It is the surplus of all revenues deducting all costs in its production and operation, reflecting its total profit and loss realized in the reporting period.</w:t>
      </w:r>
    </w:p>
    <w:p>
      <w:pPr>
        <w:pStyle w:val="4"/>
        <w:bidi w:val="0"/>
        <w:rPr>
          <w:rFonts w:hint="default"/>
        </w:rPr>
      </w:pPr>
      <w:r>
        <w:rPr>
          <w:rFonts w:hint="default"/>
        </w:rPr>
        <w:t>Ratio of Profit to Output Value to profit and tax refers to the ratio of the total profits and tax to the gross output value of construction in the report period.</w:t>
      </w:r>
    </w:p>
    <w:p>
      <w:pPr>
        <w:pStyle w:val="4"/>
        <w:bidi w:val="0"/>
        <w:rPr>
          <w:rFonts w:hint="default"/>
        </w:rPr>
      </w:pPr>
      <w:r>
        <w:rPr>
          <w:rFonts w:hint="default"/>
        </w:rPr>
        <w:t>Investment in Real Estate Development refers to investment by real estate development companies, commercialized buildings construction companies and other real estate development units of various types of ownership in the construction of buildings, such as residential buildings, factory buildings, warehouses, hotels, guesthouses, holiday villages, office buildings, and the complementary service facilities and land development projects, such as roads, water supply, water drainage, power supply, heating supply, telecommunications, land leveling and other infrastructural projects. It does not include activities in pure land transactions.</w:t>
      </w:r>
    </w:p>
    <w:p>
      <w:pPr>
        <w:pStyle w:val="4"/>
        <w:bidi w:val="0"/>
        <w:rPr>
          <w:rFonts w:hint="default"/>
        </w:rPr>
      </w:pPr>
      <w:r>
        <w:rPr>
          <w:rFonts w:hint="default"/>
          <w:b/>
          <w:bCs/>
        </w:rPr>
        <w:t>Area of Commercialized Housing Sold</w:t>
      </w:r>
      <w:r>
        <w:rPr>
          <w:rFonts w:hint="default"/>
        </w:rPr>
        <w:t xml:space="preserve"> refers to total contracted area of commercialized housing (i.e. area of floor space as designated in the formal contracts signed by both sides) during the reference time.Area of commercialized housing sold constitutes floor space of completed housing and floor space of future housing.</w:t>
      </w:r>
    </w:p>
    <w:p>
      <w:pPr>
        <w:pStyle w:val="4"/>
        <w:bidi w:val="0"/>
        <w:rPr>
          <w:rFonts w:hint="default"/>
        </w:rPr>
      </w:pPr>
      <w:r>
        <w:rPr>
          <w:rFonts w:hint="default"/>
          <w:b/>
          <w:bCs/>
        </w:rPr>
        <w:t>Value of Commercialized Housing Sold</w:t>
      </w:r>
      <w:r>
        <w:rPr>
          <w:rFonts w:hint="default"/>
        </w:rPr>
        <w:t xml:space="preserve"> refers to the total contracted value (i.e. value of sales/purchase for selling/purchase of commercialized housing as designated in the contract signed by both sides) during the reference time.This indicator has the same coverage as the area of commercialized housing sold, which constitutes floor space of completed housing and floor space of housing yet to be completed.</w:t>
      </w:r>
    </w:p>
    <w:p>
      <w:pPr>
        <w:pStyle w:val="4"/>
        <w:bidi w:val="0"/>
        <w:rPr>
          <w:rFonts w:hint="default"/>
        </w:rPr>
      </w:pPr>
      <w:r>
        <w:rPr>
          <w:rFonts w:hint="default"/>
        </w:rPr>
        <w:t>Non-Marketable Area refers to the building area used for removal and rebuilding which completed by real estate companies in reference period; completed building area of unified construction and acting construction which constructed by accepting commission, orientating development construction and charging certain management overhead; building area of completed schools, kindergartens, police stations, neighborhood committees, stores and such public utility constructions.</w:t>
      </w:r>
    </w:p>
    <w:p>
      <w:pPr>
        <w:pStyle w:val="4"/>
        <w:bidi w:val="0"/>
        <w:rPr>
          <w:rFonts w:hint="default"/>
        </w:rPr>
      </w:pPr>
      <w:r>
        <w:rPr>
          <w:rFonts w:hint="default"/>
        </w:rPr>
        <w:t xml:space="preserve">Floor Space of Vacant Building refers to the area of commercialized buildings haven't been sold or rent in the area of completed marketable and rentable commercialized buildings in the reference period, including the completed building area in the former years and in the current period, while excluding the completed removal and rebuilding buildings, unified and deputized construction buildings, public matched installations buildings and area of the buildings for self-use and revolving buildings of the real estate companies which are unmarketable or can't be rented. According to the vacant time, the buildings can be categorized as follows: buildings vacant less than one year, vacant for one to three years (including one year), vacant more than three years (including three years). </w:t>
      </w:r>
    </w:p>
    <w:p>
      <w:pPr>
        <w:pStyle w:val="4"/>
        <w:bidi w:val="0"/>
        <w:rPr>
          <w:rFonts w:hint="default"/>
        </w:rPr>
      </w:pPr>
      <w:r>
        <w:rPr>
          <w:rFonts w:hint="default"/>
        </w:rPr>
        <w:br w:type="page"/>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dobe 宋体 Std L">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1D4A9F"/>
    <w:rsid w:val="11B1702B"/>
    <w:rsid w:val="5A4361DC"/>
    <w:rsid w:val="7AB71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基本段落]"/>
    <w:basedOn w:val="5"/>
    <w:unhideWhenUsed/>
    <w:qFormat/>
    <w:uiPriority w:val="99"/>
    <w:pPr>
      <w:spacing w:beforeLines="0" w:afterLines="0"/>
    </w:pPr>
    <w:rPr>
      <w:rFonts w:hint="eastAsia"/>
      <w:sz w:val="24"/>
    </w:rPr>
  </w:style>
  <w:style w:type="paragraph" w:customStyle="1" w:styleId="5">
    <w:name w:val="[无段落样式]"/>
    <w:unhideWhenUsed/>
    <w:qFormat/>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魏寒松</cp:lastModifiedBy>
  <dcterms:modified xsi:type="dcterms:W3CDTF">2020-11-03T07:04:28Z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