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rPr>
          <w:rFonts w:hint="default" w:ascii="Times New Roman" w:hAnsi="Times New Roman" w:cs="Times New Roman"/>
        </w:rPr>
      </w:pPr>
      <w:r>
        <w:rPr>
          <w:rFonts w:hint="default" w:ascii="Times New Roman" w:hAnsi="Times New Roman" w:cs="Times New Roman"/>
        </w:rPr>
        <w:t>主要统计指标解释</w:t>
      </w:r>
    </w:p>
    <w:p>
      <w:pPr>
        <w:pStyle w:val="4"/>
        <w:bidi w:val="0"/>
        <w:rPr>
          <w:rFonts w:hint="default" w:ascii="Times New Roman" w:hAnsi="Times New Roman" w:cs="Times New Roman"/>
        </w:rPr>
      </w:pPr>
      <w:r>
        <w:rPr>
          <w:rFonts w:hint="default" w:ascii="Times New Roman" w:hAnsi="Times New Roman" w:cs="Times New Roman"/>
          <w:b/>
          <w:bCs/>
        </w:rPr>
        <w:t>铁路营业里程</w:t>
      </w:r>
      <w:r>
        <w:rPr>
          <w:rFonts w:hint="default" w:ascii="Times New Roman" w:hAnsi="Times New Roman" w:cs="Times New Roman"/>
        </w:rPr>
        <w:t xml:space="preserve">  又称营业长度（包括正式营业和临时营业里程），指办理客货运输业务的铁路正线总长度。凡是全线或部分建成双线及以上的线路，以第一线的实际长度计算；复线、站线、段管线、岔线和特殊用途线以及不计算运费的联络线都不计算营业里程。该指标可以反映铁路运输业基础设施的发展水平，也是计算客货周转量、运输密度和机车车辆运用效率等指标的基础资料。</w:t>
      </w:r>
    </w:p>
    <w:p>
      <w:pPr>
        <w:pStyle w:val="4"/>
        <w:bidi w:val="0"/>
        <w:rPr>
          <w:rFonts w:hint="default" w:ascii="Times New Roman" w:hAnsi="Times New Roman" w:cs="Times New Roman"/>
        </w:rPr>
      </w:pPr>
      <w:r>
        <w:rPr>
          <w:rFonts w:hint="default" w:ascii="Times New Roman" w:hAnsi="Times New Roman" w:cs="Times New Roman"/>
          <w:b/>
          <w:bCs/>
        </w:rPr>
        <w:t>公路里程</w:t>
      </w:r>
      <w:r>
        <w:rPr>
          <w:rFonts w:hint="default" w:ascii="Times New Roman" w:hAnsi="Times New Roman" w:cs="Times New Roman"/>
        </w:rPr>
        <w:t xml:space="preserve">  指在一定时期内实际达到《公路工程技术标准JTG B01-2003》规定的技术等级的公路，并经公路主管部门正式验收交付使用的公路里程数。包括大、中城市的郊区公路，以及公路通过小城镇（指县城、集镇）街道的公路里程和公路桥梁长度、隧道长度、渡口的宽度以及分期修建的公路已验收交付使用的里程，不包括大、中城市的街道、厂矿、林区生产用道和农业生产用道的里程。两条或多条公路共同经由同一路段，只计算一次，不得重复计算里程长度。按公路技术等级分为等级公路和等外公路，其中等级公路分为高速公路、一级公路、二级公路、三级公路和四级公路。</w:t>
      </w:r>
    </w:p>
    <w:p>
      <w:pPr>
        <w:pStyle w:val="4"/>
        <w:bidi w:val="0"/>
        <w:rPr>
          <w:rFonts w:hint="default" w:ascii="Times New Roman" w:hAnsi="Times New Roman" w:cs="Times New Roman"/>
        </w:rPr>
      </w:pPr>
      <w:r>
        <w:rPr>
          <w:rFonts w:hint="default" w:ascii="Times New Roman" w:hAnsi="Times New Roman" w:cs="Times New Roman"/>
          <w:b/>
          <w:bCs/>
        </w:rPr>
        <w:t>内河航道里程</w:t>
      </w:r>
      <w:r>
        <w:rPr>
          <w:rFonts w:hint="default" w:ascii="Times New Roman" w:hAnsi="Times New Roman" w:cs="Times New Roman"/>
        </w:rPr>
        <w:t xml:space="preserve">  内河航道通航里程指在一定时期内，能通航运输船舶及排筏的天然河流、湖泊水库、运河及通航渠道的长度。包括全年季节性通航累计三个月以上的航道，不包括仅供零散流放竹、木排的河道。两省以河为界的航道里程，双方均按一半计算，以免重复。该指标可以反映内河水运网的规模、水平和发展。</w:t>
      </w:r>
    </w:p>
    <w:p>
      <w:pPr>
        <w:pStyle w:val="4"/>
        <w:bidi w:val="0"/>
        <w:rPr>
          <w:rFonts w:hint="default" w:ascii="Times New Roman" w:hAnsi="Times New Roman" w:cs="Times New Roman"/>
        </w:rPr>
      </w:pPr>
      <w:r>
        <w:rPr>
          <w:rFonts w:hint="default" w:ascii="Times New Roman" w:hAnsi="Times New Roman" w:cs="Times New Roman"/>
          <w:b/>
          <w:bCs/>
        </w:rPr>
        <w:t>民用航空航线里程</w:t>
      </w:r>
      <w:r>
        <w:rPr>
          <w:rFonts w:hint="default" w:ascii="Times New Roman" w:hAnsi="Times New Roman" w:cs="Times New Roman"/>
        </w:rPr>
        <w:t xml:space="preserve">  指统计期间内全部民用航空航线的航线总长度。航线长度指民用航空航线的计费距离。计算航线里程可按重复和不重复两种方法，前者是指各航线长度相加的总和；后者则要扣除各航线之间相同航段重复计算的部分。</w:t>
      </w:r>
    </w:p>
    <w:p>
      <w:pPr>
        <w:pStyle w:val="4"/>
        <w:bidi w:val="0"/>
        <w:rPr>
          <w:rFonts w:hint="default" w:ascii="Times New Roman" w:hAnsi="Times New Roman" w:cs="Times New Roman"/>
        </w:rPr>
      </w:pPr>
      <w:r>
        <w:rPr>
          <w:rFonts w:hint="default" w:ascii="Times New Roman" w:hAnsi="Times New Roman" w:cs="Times New Roman"/>
          <w:b/>
          <w:bCs/>
        </w:rPr>
        <w:t>货(客)运量</w:t>
      </w:r>
      <w:r>
        <w:rPr>
          <w:rFonts w:hint="default" w:ascii="Times New Roman" w:hAnsi="Times New Roman" w:cs="Times New Roman"/>
        </w:rPr>
        <w:t xml:space="preserve">  指在一定时期内，各种运输工具实际运送的货物（旅客）数量。该指标是反映运输业为国民经济和人民生活服务的数量指标，也是制订和检查运输生产计划、研究运输发展规模和速度的重要指标。货运按吨计算，客运按人计算。货物不论运输距离长短、货物类别，均按实际重量统计。旅客不论行程远近或票价多少，均按一人一次客运量统计；半价票、小孩票也按一人统计。</w:t>
      </w:r>
    </w:p>
    <w:p>
      <w:pPr>
        <w:pStyle w:val="4"/>
        <w:bidi w:val="0"/>
        <w:rPr>
          <w:rFonts w:hint="default" w:ascii="Times New Roman" w:hAnsi="Times New Roman" w:cs="Times New Roman"/>
        </w:rPr>
      </w:pPr>
      <w:r>
        <w:rPr>
          <w:rFonts w:hint="default" w:ascii="Times New Roman" w:hAnsi="Times New Roman" w:cs="Times New Roman"/>
          <w:b/>
          <w:bCs/>
        </w:rPr>
        <w:t>货物（旅客）周转量</w:t>
      </w:r>
      <w:r>
        <w:rPr>
          <w:rFonts w:hint="default" w:ascii="Times New Roman" w:hAnsi="Times New Roman" w:cs="Times New Roman"/>
        </w:rPr>
        <w:t xml:space="preserve">  指在一定时期内，由各种运输工具运送的货物（旅客）数量与其相应运输距离的乘积之总和。该指标可以反映运输业生产的总成果，也是编制和检查运输生产计划，计算运输效率、劳动生产率以及核算运输单位成本的主要基础资料。计算货物周转量通常按发出站与到达站之间的最短距离，也就是计费距离计算。计算公式为：</w:t>
      </w:r>
    </w:p>
    <w:p>
      <w:pPr>
        <w:pStyle w:val="4"/>
        <w:bidi w:val="0"/>
        <w:rPr>
          <w:rFonts w:hint="default" w:ascii="Times New Roman" w:hAnsi="Times New Roman" w:cs="Times New Roman"/>
        </w:rPr>
      </w:pPr>
      <w:r>
        <w:rPr>
          <w:rFonts w:hint="default" w:ascii="Times New Roman" w:hAnsi="Times New Roman" w:cs="Times New Roman"/>
        </w:rPr>
        <w:t>货物（旅客）周转量=Σ（货物（旅客）运输量×运输距离）</w:t>
      </w:r>
    </w:p>
    <w:p>
      <w:pPr>
        <w:pStyle w:val="4"/>
        <w:bidi w:val="0"/>
        <w:rPr>
          <w:rFonts w:hint="default" w:ascii="Times New Roman" w:hAnsi="Times New Roman" w:cs="Times New Roman"/>
        </w:rPr>
      </w:pPr>
      <w:r>
        <w:rPr>
          <w:rFonts w:hint="default" w:ascii="Times New Roman" w:hAnsi="Times New Roman" w:cs="Times New Roman"/>
          <w:b/>
          <w:bCs/>
        </w:rPr>
        <w:t>邮电业务总量</w:t>
      </w:r>
      <w:r>
        <w:rPr>
          <w:rFonts w:hint="default" w:ascii="Times New Roman" w:hAnsi="Times New Roman" w:cs="Times New Roman"/>
        </w:rPr>
        <w:t xml:space="preserve">  指以货币形式表示的邮电企业为社会提供各类邮电服务的总数量，是用于观察邮电业务发展变化总趋势的综合性总量指标。分别按邮政业务总量和电信业务总量统计。邮电业务总量是以各类业务的实物量分别乘以相应的不变单价，得出各类业务的货币量再加总求得。</w:t>
      </w:r>
    </w:p>
    <w:p>
      <w:pPr>
        <w:pStyle w:val="4"/>
        <w:bidi w:val="0"/>
        <w:rPr>
          <w:rFonts w:hint="default" w:ascii="Times New Roman" w:hAnsi="Times New Roman" w:cs="Times New Roman"/>
        </w:rPr>
      </w:pPr>
      <w:r>
        <w:rPr>
          <w:rFonts w:hint="default" w:ascii="Times New Roman" w:hAnsi="Times New Roman" w:cs="Times New Roman"/>
          <w:b/>
          <w:bCs/>
        </w:rPr>
        <w:t xml:space="preserve">移动电话用户 </w:t>
      </w:r>
      <w:r>
        <w:rPr>
          <w:rFonts w:hint="default" w:ascii="Times New Roman" w:hAnsi="Times New Roman" w:cs="Times New Roman"/>
        </w:rPr>
        <w:t xml:space="preserve"> 指报告期末通过移动电话交换机进入移动电话网的全部电话用户。包括各类签约用户、智能网预付费用户、无线上网卡用户（包括2G和3G无线上网卡用户）等。</w:t>
      </w:r>
    </w:p>
    <w:p>
      <w:pPr>
        <w:pStyle w:val="4"/>
        <w:bidi w:val="0"/>
        <w:rPr>
          <w:rFonts w:hint="default" w:ascii="Times New Roman" w:hAnsi="Times New Roman" w:cs="Times New Roman"/>
        </w:rPr>
      </w:pPr>
      <w:r>
        <w:rPr>
          <w:rFonts w:hint="default" w:ascii="Times New Roman" w:hAnsi="Times New Roman" w:cs="Times New Roman"/>
          <w:b/>
          <w:bCs/>
        </w:rPr>
        <w:t xml:space="preserve">固定电话用户 </w:t>
      </w:r>
      <w:r>
        <w:rPr>
          <w:rFonts w:hint="default" w:ascii="Times New Roman" w:hAnsi="Times New Roman" w:cs="Times New Roman"/>
        </w:rPr>
        <w:t xml:space="preserve"> 指在电信企业登记注册，且在报告期末实际已经接入电信企业固定电话网（包括局用电话交换机、接入网设备、软交换用户接入设备、无线市话设备）上的全部电话用户。包括普通电话用户、无线接入电话用户、公用电话用户、窄带综合业务数字网(N-ISDN)用户、集中用户交换机(CENTREX)用户、模拟中继线用户等。 </w:t>
      </w:r>
    </w:p>
    <w:p>
      <w:pPr>
        <w:pStyle w:val="4"/>
        <w:bidi w:val="0"/>
        <w:rPr>
          <w:rFonts w:hint="default" w:ascii="Times New Roman" w:hAnsi="Times New Roman" w:cs="Times New Roman"/>
          <w:color w:val="FF0000"/>
          <w:highlight w:val="none"/>
        </w:rPr>
      </w:pPr>
    </w:p>
    <w:p>
      <w:pPr>
        <w:pStyle w:val="4"/>
        <w:bidi w:val="0"/>
        <w:rPr>
          <w:rFonts w:hint="default" w:ascii="Times New Roman" w:hAnsi="Times New Roman" w:cs="Times New Roman"/>
        </w:rPr>
      </w:pPr>
    </w:p>
    <w:p>
      <w:pPr>
        <w:pStyle w:val="4"/>
        <w:bidi w:val="0"/>
        <w:rPr>
          <w:rFonts w:hint="default" w:ascii="Times New Roman" w:hAnsi="Times New Roman" w:cs="Times New Roman"/>
        </w:rPr>
      </w:pPr>
      <w:r>
        <w:rPr>
          <w:rFonts w:hint="default" w:ascii="Times New Roman" w:hAnsi="Times New Roman" w:cs="Times New Roman"/>
        </w:rPr>
        <w:t>Explanatory Notes on Principle Statistical Indicators</w:t>
      </w:r>
    </w:p>
    <w:p>
      <w:pPr>
        <w:pStyle w:val="4"/>
        <w:bidi w:val="0"/>
        <w:rPr>
          <w:rFonts w:hint="default" w:ascii="Times New Roman" w:hAnsi="Times New Roman" w:cs="Times New Roman"/>
        </w:rPr>
      </w:pPr>
      <w:r>
        <w:rPr>
          <w:rFonts w:hint="default" w:ascii="Times New Roman" w:hAnsi="Times New Roman" w:cs="Times New Roman"/>
        </w:rPr>
        <w:t>Length of Railways in Operation refers to the total length of the trunk line under passenger and freight transportation (including both full operation and temporary operation). The calculation is based on the actual length of the first line even if this line has a full or partial double track or more tracks, excluding double tracks, station sidings, tracks under the charge of stations, branch lines, special purpose lines and the non payable connecting lines. The length of railways in operation is an important indicator to show the development of the infrastructure for the railway transport, and also the essential data to calculate volume of passenger freight transport, traffic density and utilization efficiency of the locomotives and carriages.</w:t>
      </w:r>
    </w:p>
    <w:p>
      <w:pPr>
        <w:pStyle w:val="4"/>
        <w:bidi w:val="0"/>
        <w:rPr>
          <w:rFonts w:hint="default" w:ascii="Times New Roman" w:hAnsi="Times New Roman" w:cs="Times New Roman"/>
        </w:rPr>
      </w:pPr>
      <w:r>
        <w:rPr>
          <w:rFonts w:hint="default" w:ascii="Times New Roman" w:hAnsi="Times New Roman" w:cs="Times New Roman"/>
        </w:rPr>
        <w:t xml:space="preserve">Length of Highways refers to the length of highways which have actually reached the technical level specified in the technical standard JTG B01-2003 in a certain period of time and have been formally checked and accepted by the department of highway and put into use. The length of highway includes that of the suburb highways at large and medium-sized cities,highways passing through streets at small cities and towns,and also the length of bridge and ferries. It does not include the length of streets in big and medium-sized cities and highways built for the production purpose at factories, mines, forest areas and agricultural areas. If two more highways go the same section of the way, the length of the section is only calculated for once and no duplication is allowed. It is divided into grade highway and grade external highway by highway technology grade, among which grade highway is divided into expressway, grade one highway, grade two highway, grade three highway and grade four highway. </w:t>
      </w:r>
    </w:p>
    <w:p>
      <w:pPr>
        <w:pStyle w:val="4"/>
        <w:bidi w:val="0"/>
        <w:rPr>
          <w:rFonts w:hint="default" w:ascii="Times New Roman" w:hAnsi="Times New Roman" w:cs="Times New Roman"/>
        </w:rPr>
      </w:pPr>
      <w:r>
        <w:rPr>
          <w:rFonts w:hint="default" w:ascii="Times New Roman" w:hAnsi="Times New Roman" w:cs="Times New Roman"/>
        </w:rPr>
        <w:t>Length of Navigable Inland Waterways it is an indicator reflecting the size and development of inland water network, it refers to the length of the natural rivers, lakes, reservoirs, canals, and ditches open to navigation during a given period, which enables the transport by ships and rafts. It includes the channels open to navigation for over an accumulative 3 months in a year, yet this does not include the river courses, which are only used to float odd logs and bamboo rafts.The distance between the two provinces is calculated in half to avoid duplication. This indicator can reflect the scale, level and development situation of the inland waterway network.</w:t>
      </w:r>
    </w:p>
    <w:p>
      <w:pPr>
        <w:pStyle w:val="4"/>
        <w:bidi w:val="0"/>
        <w:rPr>
          <w:rFonts w:hint="default" w:ascii="Times New Roman" w:hAnsi="Times New Roman" w:cs="Times New Roman"/>
        </w:rPr>
      </w:pPr>
      <w:r>
        <w:rPr>
          <w:rFonts w:hint="default" w:ascii="Times New Roman" w:hAnsi="Times New Roman" w:cs="Times New Roman"/>
        </w:rPr>
        <w:t xml:space="preserve">Length of Civil Aviation Routes refers to the length of all routes for regular civil aviation flights, which is used to account the freight, during the period of statistics. There are usually two ways to calculate the route length: duplicated calculation and non-duplicated calculation, the former is the sum of length of all civil aviation routes, and latter should deduct the duplication length of same route among all routes. </w:t>
      </w:r>
    </w:p>
    <w:p>
      <w:pPr>
        <w:pStyle w:val="4"/>
        <w:bidi w:val="0"/>
        <w:rPr>
          <w:rFonts w:hint="default" w:ascii="Times New Roman" w:hAnsi="Times New Roman" w:cs="Times New Roman"/>
        </w:rPr>
      </w:pPr>
      <w:r>
        <w:rPr>
          <w:rFonts w:hint="default" w:ascii="Times New Roman" w:hAnsi="Times New Roman" w:cs="Times New Roman"/>
        </w:rPr>
        <w:t xml:space="preserve">Freight (Passenger) Traffic refers to the volume of freight (passenger) transported with various means. The freight (passenger)traffic provides a quantitative measure to show how the transport industry serves the national economy and people, and is also an important indicator for planning the transport industry and for studying the development scale and speed of the transport industry. Freight transport is calculated in tons and passenger traffic is calculated in the number of persons. Despite the type of freight and traveling distance, the freight transport is calculated in the actual weight of the goods, and despite the traveling distance and ticket price, the passenger traffic is calculated by the principle that one person can be counted only once in one travel. The passengers who travel with a half price ticket or a child ticket is also calculated as one person. </w:t>
      </w:r>
    </w:p>
    <w:p>
      <w:pPr>
        <w:pStyle w:val="4"/>
        <w:bidi w:val="0"/>
        <w:rPr>
          <w:rFonts w:hint="default" w:ascii="Times New Roman" w:hAnsi="Times New Roman" w:cs="Times New Roman"/>
        </w:rPr>
      </w:pPr>
      <w:r>
        <w:rPr>
          <w:rFonts w:hint="default" w:ascii="Times New Roman" w:hAnsi="Times New Roman" w:cs="Times New Roman"/>
        </w:rPr>
        <w:t xml:space="preserve">Freight Ton-kilometres (Passenger-kilometres) refer to the sum of the products of the volume of transported cargo (passengers) multiplying by the transport distance. It is an important indicator to reflect the achievement of transportation industry. Normally, the shortest distance between the departure station and the destination station (i.e., the payable distance) is the basis to calculate the freight ton-kilometers. This is an important indicator to show the total results of the transport industry, to prepare and examine the transport plan and to measure the efficiency, the labour productivity and the unit cost of transport. The formula is as follows: </w:t>
      </w:r>
    </w:p>
    <w:p>
      <w:pPr>
        <w:pStyle w:val="4"/>
        <w:bidi w:val="0"/>
        <w:rPr>
          <w:rFonts w:hint="default" w:ascii="Times New Roman" w:hAnsi="Times New Roman" w:cs="Times New Roman"/>
        </w:rPr>
      </w:pPr>
      <w:r>
        <w:rPr>
          <w:rFonts w:hint="default" w:ascii="Times New Roman" w:hAnsi="Times New Roman" w:cs="Times New Roman"/>
        </w:rPr>
        <w:t>Freight ton-kilometres                   freight                distance of</w:t>
      </w:r>
    </w:p>
    <w:p>
      <w:pPr>
        <w:pStyle w:val="4"/>
        <w:bidi w:val="0"/>
        <w:rPr>
          <w:rFonts w:hint="default" w:ascii="Times New Roman" w:hAnsi="Times New Roman" w:cs="Times New Roman"/>
        </w:rPr>
      </w:pPr>
      <w:r>
        <w:rPr>
          <w:rFonts w:hint="default" w:ascii="Times New Roman" w:hAnsi="Times New Roman" w:cs="Times New Roman"/>
        </w:rPr>
        <w:t>(passenger-kilometres) = Σ  (passenger) traffic  ×  transportation</w:t>
      </w:r>
    </w:p>
    <w:p>
      <w:pPr>
        <w:pStyle w:val="4"/>
        <w:bidi w:val="0"/>
        <w:rPr>
          <w:rFonts w:hint="default" w:ascii="Times New Roman" w:hAnsi="Times New Roman" w:cs="Times New Roman"/>
        </w:rPr>
      </w:pPr>
      <w:r>
        <w:rPr>
          <w:rFonts w:hint="default" w:ascii="Times New Roman" w:hAnsi="Times New Roman" w:cs="Times New Roman"/>
        </w:rPr>
        <w:t xml:space="preserve">Business Volume of Post and Telecommunications refers to the total amount of post and telecommunication services, expressed in value terms, provided by the post and telecommunications departments for the society. This indicator reflects the overall results of development of postal and telecommunication services. It can be classified as postal services and telecommunication services. Business Volume of Post and Telecommunications is the sum of all services in kind multiplying with the unit price (constant price) to get the total business value. </w:t>
      </w:r>
    </w:p>
    <w:p>
      <w:pPr>
        <w:pStyle w:val="4"/>
        <w:bidi w:val="0"/>
        <w:rPr>
          <w:rFonts w:hint="default" w:ascii="Times New Roman" w:hAnsi="Times New Roman" w:cs="Times New Roman"/>
        </w:rPr>
      </w:pPr>
      <w:r>
        <w:rPr>
          <w:rFonts w:hint="default" w:ascii="Times New Roman" w:hAnsi="Times New Roman" w:cs="Times New Roman"/>
        </w:rPr>
        <w:t xml:space="preserve">Mobile Telephone Subscribers refer to all telephone users who enter the mobile phone network through a mobile phone exchange at the end of the report. It includes all kinds of subscribers, prepaid users of smart networks, and users of wireless CARDS (including 2G and 3G wireless CARDS) and so on. </w:t>
      </w:r>
    </w:p>
    <w:p>
      <w:pPr>
        <w:pStyle w:val="4"/>
        <w:bidi w:val="0"/>
        <w:rPr>
          <w:rFonts w:hint="default" w:ascii="Times New Roman" w:hAnsi="Times New Roman" w:cs="Times New Roman"/>
        </w:rPr>
      </w:pPr>
      <w:r>
        <w:rPr>
          <w:rFonts w:hint="default" w:ascii="Times New Roman" w:hAnsi="Times New Roman" w:cs="Times New Roman"/>
        </w:rPr>
        <w:t>Local Telephone Subscribers refers to all telephone users registered in telecom enterprises and actually connected to the fixed telephone network of telecom enterprises at the end of the report (including the local telephone exchange, access network equipment, soft exchange user access equipment and wireless local telephone equipment). It includes general subscribers, wireless local telephone subscribers, public telephones subscribers, N-ISDN subscribers, CENTREX users, analog relay users and so on.</w:t>
      </w:r>
    </w:p>
    <w:p>
      <w:pPr>
        <w:rPr>
          <w:rFonts w:hint="default" w:ascii="Times New Roman" w:hAnsi="Times New Roman" w:cs="Times New Roma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dobe 宋体 Std L">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87B35"/>
    <w:rsid w:val="02301521"/>
    <w:rsid w:val="11EE4845"/>
    <w:rsid w:val="1361209D"/>
    <w:rsid w:val="13E675EB"/>
    <w:rsid w:val="179B1249"/>
    <w:rsid w:val="1FFC037A"/>
    <w:rsid w:val="247F00B7"/>
    <w:rsid w:val="3011182C"/>
    <w:rsid w:val="40344274"/>
    <w:rsid w:val="40DF6A92"/>
    <w:rsid w:val="43682B25"/>
    <w:rsid w:val="48647E4E"/>
    <w:rsid w:val="4A340D7B"/>
    <w:rsid w:val="4C8A54C6"/>
    <w:rsid w:val="577012B6"/>
    <w:rsid w:val="5C0772D9"/>
    <w:rsid w:val="5FD41360"/>
    <w:rsid w:val="64EE3EB1"/>
    <w:rsid w:val="6D5E096F"/>
    <w:rsid w:val="6F201A43"/>
    <w:rsid w:val="721838CD"/>
    <w:rsid w:val="76B31878"/>
    <w:rsid w:val="78C478CE"/>
    <w:rsid w:val="7A1F3912"/>
    <w:rsid w:val="7F7C1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基本段落]"/>
    <w:basedOn w:val="5"/>
    <w:unhideWhenUsed/>
    <w:uiPriority w:val="99"/>
    <w:pPr>
      <w:spacing w:beforeLines="0" w:afterLines="0"/>
    </w:pPr>
    <w:rPr>
      <w:rFonts w:hint="eastAsia"/>
      <w:sz w:val="24"/>
    </w:rPr>
  </w:style>
  <w:style w:type="paragraph" w:customStyle="1" w:styleId="5">
    <w:name w:val="[无段落样式]"/>
    <w:unhideWhenUsed/>
    <w:qFormat/>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魏寒松</cp:lastModifiedBy>
  <dcterms:modified xsi:type="dcterms:W3CDTF">2020-11-03T07:41:12Z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