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土地调查面积</w:t>
      </w:r>
      <w:r>
        <w:rPr>
          <w:rFonts w:hint="eastAsia" w:ascii="方正书宋_GBK" w:hAnsi="方正书宋_GBK" w:eastAsia="方正书宋_GBK"/>
          <w:spacing w:val="2"/>
          <w:sz w:val="22"/>
        </w:rPr>
        <w:t>　指行政区域内的土地调查总面积，包括农用地、建设用地和未利用地。</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耕地</w:t>
      </w:r>
      <w:r>
        <w:rPr>
          <w:rFonts w:hint="eastAsia" w:ascii="方正书宋_GBK" w:hAnsi="方正书宋_GBK" w:eastAsia="方正书宋_GBK"/>
          <w:spacing w:val="2"/>
          <w:sz w:val="22"/>
        </w:rPr>
        <w:t>　指种植农作物的土地，包括熟地,新开发、复垦、整理地，休闲地（含轮歇地、轮作地）；以种植农作物（含蔬菜）为主，间有零星果树、桑树或其他树木的土地；平均每年能保证收获一季的已垦滩地和海涂。耕地中包括南方宽度&lt;1.0米，北方宽度&lt;2.0米固定的沟、渠、路和地坎（埂）；临时种植药材、草皮、花卉、苗木等的耕地，以及其他临时改变用途的耕地。</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园地</w:t>
      </w:r>
      <w:r>
        <w:rPr>
          <w:rFonts w:hint="eastAsia" w:ascii="方正书宋_GBK" w:hAnsi="方正书宋_GBK" w:eastAsia="方正书宋_GBK"/>
          <w:spacing w:val="2"/>
          <w:sz w:val="22"/>
        </w:rPr>
        <w:t>　指种植以采集果、叶、根、茎、汁等为主的集约经营的多年生木本和草本作物，覆盖度大于50%和每亩株数大于合理株数70%的土地。包括用于育苗的土地。</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林地</w:t>
      </w:r>
      <w:r>
        <w:rPr>
          <w:rFonts w:hint="eastAsia" w:ascii="方正书宋_GBK" w:hAnsi="方正书宋_GBK" w:eastAsia="方正书宋_GBK"/>
          <w:spacing w:val="2"/>
          <w:sz w:val="22"/>
        </w:rPr>
        <w:t>　指生长乔木、竹类、灌木的土地，及沿海生长红树林的土地。包括迹地，不包括居民点内部的绿化林木用地，铁路、公路征地范围内的林木，以及河流、沟渠的护堤林。</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牧草地</w:t>
      </w:r>
      <w:r>
        <w:rPr>
          <w:rFonts w:hint="eastAsia" w:ascii="方正书宋_GBK" w:hAnsi="方正书宋_GBK" w:eastAsia="方正书宋_GBK"/>
          <w:spacing w:val="2"/>
          <w:sz w:val="22"/>
        </w:rPr>
        <w:t>　指生长草本植物为主的土地。</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居民点及工矿用地</w:t>
      </w:r>
      <w:r>
        <w:rPr>
          <w:rFonts w:hint="eastAsia" w:ascii="方正书宋_GBK" w:hAnsi="方正书宋_GBK" w:eastAsia="方正书宋_GBK"/>
          <w:spacing w:val="2"/>
          <w:sz w:val="22"/>
        </w:rPr>
        <w:t>　指城乡居民点、独立居民点以及居民点以外的工矿、国防、名胜古迹等企事业单位用地，包括其内部交通、绿化用地。</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交通运输用地</w:t>
      </w:r>
      <w:r>
        <w:rPr>
          <w:rFonts w:hint="eastAsia" w:ascii="方正书宋_GBK" w:hAnsi="方正书宋_GBK" w:eastAsia="方正书宋_GBK"/>
          <w:spacing w:val="2"/>
          <w:sz w:val="22"/>
        </w:rPr>
        <w:t>　指用于运输通行的地面线路、场站等的土地。包括民用机场、港口、码头、地面运输管道和各种道路用地。</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水利设施用地</w:t>
      </w:r>
      <w:r>
        <w:rPr>
          <w:rFonts w:hint="eastAsia" w:ascii="方正书宋_GBK" w:hAnsi="方正书宋_GBK" w:eastAsia="方正书宋_GBK"/>
          <w:spacing w:val="2"/>
          <w:sz w:val="22"/>
        </w:rPr>
        <w:t>　指陆地水域，海涂，沟渠、水工建筑物等用地。不包括滞洪区和已垦滩涂中的耕地、园地、林地、居民点、道路等用地。</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湿地</w:t>
      </w:r>
      <w:r>
        <w:rPr>
          <w:rFonts w:hint="eastAsia" w:ascii="方正书宋_GBK" w:hAnsi="方正书宋_GBK" w:eastAsia="方正书宋_GBK"/>
          <w:spacing w:val="2"/>
          <w:sz w:val="22"/>
        </w:rPr>
        <w:t>　指天然或人工、长久或暂时性的沼泽地、泥炭地或水域地带，包括静止或流动、淡水、半咸水、咸水体，低潮时水深不超过6米的水域以及海岸地带地区的珊瑚滩和海草床、滩涂、红树林、河口、河流、淡水沼泽、沼泽森林、湖泊、盐沼及盐湖。</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造林总面积</w:t>
      </w:r>
      <w:r>
        <w:rPr>
          <w:rFonts w:hint="eastAsia" w:ascii="方正书宋_GBK" w:hAnsi="方正书宋_GBK" w:eastAsia="方正书宋_GBK"/>
          <w:spacing w:val="2"/>
          <w:sz w:val="22"/>
        </w:rPr>
        <w:t>　指在荒山、荒地、沙丘、退耕地等一切可以造林的土地上，采用人工播种、飞机播种、植苗造林、分植造林等方法新植成片乔木林和灌木林，经过检查验收符合《造林技术规程》要求的单位面积株数，并按《中华人民共和国森林法实施条例》规定，成活率达85%以上（含85%，年降雨量在400毫米以下且无浇灌条件的地区造林成活率达70%以上）的总面积。“四旁”植树如一侧在四行以上，连片面积0.066公顷（一亩）以上，应统计在造林面积内。</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人工造林</w:t>
      </w:r>
      <w:r>
        <w:rPr>
          <w:rFonts w:hint="eastAsia" w:ascii="方正书宋_GBK" w:hAnsi="方正书宋_GBK" w:eastAsia="方正书宋_GBK"/>
          <w:spacing w:val="2"/>
          <w:sz w:val="22"/>
        </w:rPr>
        <w:t>　指在宜林荒山荒地、宜林沙荒地、无立木林地、疏林地和退耕地等其他宜林地上通过播种、植苗和分植来提高森林植被覆被率的技术措施。</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飞机播种</w:t>
      </w:r>
      <w:r>
        <w:rPr>
          <w:rFonts w:hint="eastAsia" w:ascii="方正书宋_GBK" w:hAnsi="方正书宋_GBK" w:eastAsia="方正书宋_GBK"/>
          <w:spacing w:val="2"/>
          <w:sz w:val="22"/>
        </w:rPr>
        <w:t>　通过飞机播种并辅以适当的人工措施，为宜林荒山荒地、宜林沙荒地、其他宜林地、疏林地补充适量的种源，在自然力的作用下使其形成森林或灌草植被，提高森林植被覆被率或提高森林植被质量的技术措施。包括荒山飞播造林和飞播营林。</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新封山育林</w:t>
      </w:r>
      <w:r>
        <w:rPr>
          <w:rFonts w:hint="eastAsia" w:ascii="方正书宋_GBK" w:hAnsi="方正书宋_GBK" w:eastAsia="方正书宋_GBK"/>
          <w:spacing w:val="2"/>
          <w:sz w:val="22"/>
        </w:rPr>
        <w:t>　对宜林地、无立木林地、疏林地或低质低效有林地、灌木林地实施封禁并辅以人工促进手段，使其形成森林或灌草植被或提高林分质量的一项技术措施。包括无林地和疏林地封育以及有林地和灌木林地封育。</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退化林修复</w:t>
      </w:r>
      <w:r>
        <w:rPr>
          <w:rFonts w:hint="eastAsia" w:ascii="方正书宋_GBK" w:hAnsi="方正书宋_GBK" w:eastAsia="方正书宋_GBK"/>
          <w:spacing w:val="2"/>
          <w:sz w:val="22"/>
        </w:rPr>
        <w:t>　为改善林分的活力和结构，有效遏制防护林退化，提高林分质量和恢复森林功能，对结构失调和稳定性降低、功能退化甚至丧失且自然更新能力弱的林分采取的结构调整、树种替换、补植补播、嫁接复壮等森林经营措施。</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人工更新造林</w:t>
      </w:r>
      <w:r>
        <w:rPr>
          <w:rFonts w:hint="eastAsia" w:ascii="方正书宋_GBK" w:hAnsi="方正书宋_GBK" w:eastAsia="方正书宋_GBK"/>
          <w:spacing w:val="2"/>
          <w:sz w:val="22"/>
        </w:rPr>
        <w:t>　指在采伐迹地、火烧迹地、林中空地上通过人工造林重新形成森林的过程。包括通过松土除草、平茬或断根复壮、补植补播、除蘖间苗等措施促进目的树种幼苗幼树生长发育的人工促进天然更新。</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水资源总量</w:t>
      </w:r>
      <w:r>
        <w:rPr>
          <w:rFonts w:hint="eastAsia" w:ascii="方正书宋_GBK" w:hAnsi="方正书宋_GBK" w:eastAsia="方正书宋_GBK"/>
          <w:spacing w:val="2"/>
          <w:sz w:val="22"/>
        </w:rPr>
        <w:t>　指当地降水形成的地表和地下产水总量，即地表径流量与降水入渗补给地下水量之和。</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地表水资源量</w:t>
      </w:r>
      <w:r>
        <w:rPr>
          <w:rFonts w:hint="eastAsia" w:ascii="方正书宋_GBK" w:hAnsi="方正书宋_GBK" w:eastAsia="方正书宋_GBK"/>
          <w:spacing w:val="2"/>
          <w:sz w:val="22"/>
        </w:rPr>
        <w:t>　指河流、湖泊、冰川等地表水体中可以逐年更新的动态水量，即当地天然河川径流量。</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地表水与地下水重复计算量</w:t>
      </w:r>
      <w:r>
        <w:rPr>
          <w:rFonts w:hint="eastAsia" w:ascii="方正书宋_GBK" w:hAnsi="方正书宋_GBK" w:eastAsia="方正书宋_GBK"/>
          <w:spacing w:val="2"/>
          <w:sz w:val="22"/>
        </w:rPr>
        <w:t>　指地表水和地下水相互转化的部分，即天然河川径流量中的地下水排泄量和地下水补给量中来源于地表水的入渗补给量。</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供水总量</w:t>
      </w:r>
      <w:r>
        <w:rPr>
          <w:rFonts w:hint="eastAsia" w:ascii="方正书宋_GBK" w:hAnsi="方正书宋_GBK" w:eastAsia="方正书宋_GBK"/>
          <w:spacing w:val="2"/>
          <w:sz w:val="22"/>
        </w:rPr>
        <w:t>　指各种水源工程为用户提供的包括输水损失在内的毛供水量。</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用水总量</w:t>
      </w:r>
      <w:r>
        <w:rPr>
          <w:rFonts w:hint="eastAsia" w:ascii="方正书宋_GBK" w:hAnsi="方正书宋_GBK" w:eastAsia="方正书宋_GBK"/>
          <w:spacing w:val="2"/>
          <w:sz w:val="22"/>
        </w:rPr>
        <w:t>　指各类用水户取用的包括输水损失在内的毛用水量。</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农业用水</w:t>
      </w:r>
      <w:r>
        <w:rPr>
          <w:rFonts w:hint="eastAsia" w:ascii="方正书宋_GBK" w:hAnsi="方正书宋_GBK" w:eastAsia="方正书宋_GBK"/>
          <w:spacing w:val="2"/>
          <w:sz w:val="22"/>
        </w:rPr>
        <w:t>　指农田灌溉用水、林果地灌溉用水、草地灌溉用水和鱼塘补水和畜禽用水。</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工业用水</w:t>
      </w:r>
      <w:r>
        <w:rPr>
          <w:rFonts w:hint="eastAsia" w:ascii="方正书宋_GBK" w:hAnsi="方正书宋_GBK" w:eastAsia="方正书宋_GBK"/>
          <w:spacing w:val="2"/>
          <w:sz w:val="22"/>
        </w:rPr>
        <w:t>　指工矿企业在生产过程中用于制造、加工、冷却、空调、净化、洗涤等方面的用水，按新水取用量计，不包括企业内部的重复利用水量。</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生活用水</w:t>
      </w:r>
      <w:r>
        <w:rPr>
          <w:rFonts w:hint="eastAsia" w:ascii="方正书宋_GBK" w:hAnsi="方正书宋_GBK" w:eastAsia="方正书宋_GBK"/>
          <w:spacing w:val="2"/>
          <w:sz w:val="22"/>
        </w:rPr>
        <w:t>　包括城镇生活用水和农村生活用水。城镇生活用水由居民用水和公共用水（含第三产业及建筑业等用水）组成；农村生活用水指居民生活用水。</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生态环境补水</w:t>
      </w:r>
      <w:r>
        <w:rPr>
          <w:rFonts w:hint="eastAsia" w:ascii="方正书宋_GBK" w:hAnsi="方正书宋_GBK" w:eastAsia="方正书宋_GBK"/>
          <w:spacing w:val="2"/>
          <w:sz w:val="22"/>
        </w:rPr>
        <w:t>　仅包括人为措施供给的城镇环境用水和部分河湖、湿地补水，而不包括降水、径流自然满足的水量。</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城区（县城）人口</w:t>
      </w:r>
      <w:r>
        <w:rPr>
          <w:rFonts w:hint="eastAsia" w:ascii="方正书宋_GBK" w:hAnsi="方正书宋_GBK" w:eastAsia="方正书宋_GBK"/>
          <w:spacing w:val="2"/>
          <w:sz w:val="22"/>
        </w:rPr>
        <w:t>　指划定的城区（县城）范围的户籍人口数。按公安部门的户籍统计为准填报。</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城区（县城）面积</w:t>
      </w:r>
      <w:r>
        <w:rPr>
          <w:rFonts w:hint="eastAsia" w:ascii="方正书宋_GBK" w:hAnsi="方正书宋_GBK" w:eastAsia="方正书宋_GBK"/>
          <w:spacing w:val="2"/>
          <w:sz w:val="22"/>
        </w:rPr>
        <w:t>　指城市和县城的面积。设市城市城区包括：市本级（1）街道办事处所辖地域；（2）城市公共设施、居住设施和市政公用设施等连接到的其他镇（乡）地域；（3）常住人口在3000人以上独立的工矿区、开发区、科研单位、大专院校等特殊区域。县城包括：（1）县政府驻地的镇（城关镇）或街道办事处地域；（2）县城公共设施、居住设施和市政设施等连接到的其他镇（乡）地域；（3）县域内常住人口在3000人以上独立的工矿区、开发区、科研单位、大专院校等特殊区域。</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建成区面积</w:t>
      </w:r>
      <w:r>
        <w:rPr>
          <w:rFonts w:hint="eastAsia" w:ascii="方正书宋_GBK" w:hAnsi="方正书宋_GBK" w:eastAsia="方正书宋_GBK"/>
          <w:spacing w:val="2"/>
          <w:sz w:val="22"/>
        </w:rPr>
        <w:t>　城市行政区内实际已成片开发建设、市政公用设施和公共设施基本具备的区域。对核心城市，它包括集中连片的部分以及分散的若干个已经成片建设起来，市政公用设施和公共设施基本具备的地区；对一城多镇来说，它包括由几个连片开发建设起来的，市政公用设施和公共设施基本具备的地区组成。因此建成区范围，一般是指建成区外轮廓线所能包括的地区，也就是这个城市实际建设用地所达到的范围。</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绿化覆盖面积</w:t>
      </w:r>
      <w:r>
        <w:rPr>
          <w:rFonts w:hint="eastAsia" w:ascii="方正书宋_GBK" w:hAnsi="方正书宋_GBK" w:eastAsia="方正书宋_GBK"/>
          <w:spacing w:val="2"/>
          <w:sz w:val="22"/>
        </w:rPr>
        <w:t>　指城市中的乔木、灌木、草坪等所有植被的垂直投影面积。包括公园绿地、防护绿地、生产绿地、附属绿地、其他绿地的绿化种植覆盖面积、屋顶绿化覆盖面积以及零散树木的覆盖面积，不含各类绿地中的水域面积以及没有被植被覆盖的面积（硬化道路、无屋顶绿化的建筑物等）。乔木树冠下重叠的灌木和草本植物不能重复计算。</w:t>
      </w:r>
    </w:p>
    <w:p>
      <w:pPr>
        <w:pStyle w:val="5"/>
        <w:spacing w:beforeLines="0" w:afterLines="0"/>
        <w:rPr>
          <w:rFonts w:hint="eastAsia" w:ascii="方正书宋_GBK" w:hAnsi="方正书宋_GBK" w:eastAsia="方正书宋_GBK"/>
          <w:sz w:val="22"/>
        </w:rPr>
      </w:pPr>
      <w:r>
        <w:rPr>
          <w:rFonts w:hint="eastAsia" w:ascii="方正黑体简体" w:hAnsi="方正黑体简体" w:eastAsia="方正黑体简体"/>
          <w:spacing w:val="2"/>
          <w:sz w:val="22"/>
        </w:rPr>
        <w:t>人均公园绿地面积</w:t>
      </w:r>
      <w:r>
        <w:rPr>
          <w:rFonts w:hint="eastAsia" w:ascii="方正书宋_GBK" w:hAnsi="方正书宋_GBK" w:eastAsia="方正书宋_GBK"/>
          <w:spacing w:val="2"/>
          <w:sz w:val="22"/>
        </w:rPr>
        <w:t>　指报告期末区域内城区人口平均每人拥有的公园绿地面积。人口数采用年底人口数。计算公式为</w:t>
      </w:r>
      <w:r>
        <w:rPr>
          <w:rFonts w:hint="eastAsia" w:ascii="方正书宋_GBK" w:hAnsi="方正书宋_GBK" w:eastAsia="方正书宋_GBK"/>
          <w:sz w:val="22"/>
        </w:rPr>
        <w:t>：</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position w:val="-14"/>
          <w:sz w:val="22"/>
        </w:rPr>
        <w:t xml:space="preserve">人均公园绿地面积  =  </w:t>
      </w:r>
      <w:r>
        <w:rPr>
          <w:rFonts w:hint="eastAsia" w:ascii="方正书宋_GBK" w:hAnsi="方正书宋_GBK" w:eastAsia="方正书宋_GBK"/>
          <w:sz w:val="22"/>
        </w:rPr>
        <w:t xml:space="preserve">         公园绿地面积               </w:t>
      </w:r>
      <w:r>
        <w:rPr>
          <w:rFonts w:hint="eastAsia" w:ascii="方正书宋_GBK" w:hAnsi="方正书宋_GBK" w:eastAsia="方正书宋_GBK"/>
          <w:position w:val="-14"/>
          <w:sz w:val="22"/>
        </w:rPr>
        <w:t xml:space="preserve">  ×100%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城区人口+城区暂住人口</w:t>
      </w:r>
    </w:p>
    <w:p>
      <w:pPr>
        <w:pStyle w:val="5"/>
        <w:spacing w:beforeLines="0" w:afterLines="0"/>
        <w:rPr>
          <w:rFonts w:hint="eastAsia" w:ascii="方正书宋_GBK" w:hAnsi="方正书宋_GBK" w:eastAsia="方正书宋_GBK"/>
          <w:sz w:val="22"/>
        </w:rPr>
      </w:pPr>
      <w:r>
        <w:rPr>
          <w:rFonts w:hint="eastAsia" w:ascii="方正黑体简体" w:hAnsi="方正黑体简体" w:eastAsia="方正黑体简体"/>
          <w:spacing w:val="2"/>
          <w:sz w:val="22"/>
        </w:rPr>
        <w:t>建成区绿化覆盖率</w:t>
      </w:r>
      <w:r>
        <w:rPr>
          <w:rFonts w:hint="eastAsia" w:ascii="方正书宋_GBK" w:hAnsi="方正书宋_GBK" w:eastAsia="方正书宋_GBK"/>
          <w:spacing w:val="2"/>
          <w:sz w:val="22"/>
        </w:rPr>
        <w:t xml:space="preserve">  指报告期末建成区内绿化覆盖面积与建成区面积的比率。计算公式为</w:t>
      </w:r>
      <w:r>
        <w:rPr>
          <w:rFonts w:hint="eastAsia" w:ascii="方正书宋_GBK" w:hAnsi="方正书宋_GBK" w:eastAsia="方正书宋_GBK"/>
          <w:sz w:val="22"/>
        </w:rPr>
        <w:t>：</w:t>
      </w:r>
    </w:p>
    <w:p>
      <w:pPr>
        <w:pStyle w:val="5"/>
        <w:spacing w:beforeLines="0" w:afterLines="0"/>
        <w:rPr>
          <w:rFonts w:hint="eastAsia" w:ascii="方正书宋_GBK" w:hAnsi="方正书宋_GBK" w:eastAsia="方正书宋_GBK"/>
          <w:position w:val="-16"/>
          <w:sz w:val="22"/>
        </w:rPr>
      </w:pPr>
      <w:r>
        <w:rPr>
          <w:rFonts w:hint="eastAsia" w:ascii="方正书宋_GBK" w:hAnsi="方正书宋_GBK" w:eastAsia="方正书宋_GBK"/>
          <w:position w:val="-16"/>
          <w:sz w:val="22"/>
        </w:rPr>
        <w:t xml:space="preserve">建成区绿化覆盖率  = </w:t>
      </w:r>
      <w:r>
        <w:rPr>
          <w:rFonts w:hint="eastAsia" w:ascii="方正书宋_GBK" w:hAnsi="方正书宋_GBK" w:eastAsia="方正书宋_GBK"/>
          <w:position w:val="-14"/>
          <w:sz w:val="22"/>
        </w:rPr>
        <w:t xml:space="preserve"> </w:t>
      </w:r>
      <w:r>
        <w:rPr>
          <w:rFonts w:hint="eastAsia" w:ascii="方正书宋_GBK" w:hAnsi="方正书宋_GBK" w:eastAsia="方正书宋_GBK"/>
          <w:sz w:val="22"/>
        </w:rPr>
        <w:t xml:space="preserve">建成区绿化覆盖面积 </w:t>
      </w:r>
      <w:r>
        <w:rPr>
          <w:rFonts w:hint="eastAsia" w:ascii="方正书宋_GBK" w:hAnsi="方正书宋_GBK" w:eastAsia="方正书宋_GBK"/>
          <w:position w:val="-14"/>
          <w:sz w:val="22"/>
        </w:rPr>
        <w:t xml:space="preserve"> </w:t>
      </w:r>
      <w:r>
        <w:rPr>
          <w:rFonts w:hint="eastAsia" w:ascii="方正书宋_GBK" w:hAnsi="方正书宋_GBK" w:eastAsia="方正书宋_GBK"/>
          <w:position w:val="-16"/>
          <w:sz w:val="22"/>
        </w:rPr>
        <w:t xml:space="preserve"> ×100%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建成区面积</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废水排放总量</w:t>
      </w:r>
      <w:r>
        <w:rPr>
          <w:rFonts w:hint="eastAsia" w:ascii="方正书宋_GBK" w:hAnsi="方正书宋_GBK" w:eastAsia="方正书宋_GBK"/>
          <w:spacing w:val="2"/>
          <w:sz w:val="22"/>
        </w:rPr>
        <w:t>　指工业废水排放量、城镇生活污水排放量和集中式治理设施污水排放量之和。</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生活污水排放量</w:t>
      </w:r>
      <w:r>
        <w:rPr>
          <w:rFonts w:hint="eastAsia" w:ascii="方正书宋_GBK" w:hAnsi="方正书宋_GBK" w:eastAsia="方正书宋_GBK"/>
          <w:spacing w:val="2"/>
          <w:sz w:val="22"/>
        </w:rPr>
        <w:t>　用人均系数法测算。计算公式是：</w:t>
      </w:r>
    </w:p>
    <w:p>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如果辖区内的城镇污水处理厂未安装再生水回用系统，无再生水利用量，则</w:t>
      </w:r>
    </w:p>
    <w:p>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　　城镇生活污水排放量=城镇生活污水排放系数×城镇人口数×365</w:t>
      </w:r>
    </w:p>
    <w:p>
      <w:pPr>
        <w:pStyle w:val="5"/>
        <w:spacing w:beforeLines="0" w:afterLines="0"/>
        <w:rPr>
          <w:rFonts w:hint="eastAsia" w:ascii="方正书宋_GBK" w:hAnsi="方正书宋_GBK" w:eastAsia="方正书宋_GBK"/>
          <w:spacing w:val="-4"/>
          <w:sz w:val="22"/>
        </w:rPr>
      </w:pPr>
      <w:r>
        <w:rPr>
          <w:rFonts w:hint="eastAsia" w:ascii="方正书宋_GBK" w:hAnsi="方正书宋_GBK" w:eastAsia="方正书宋_GBK"/>
          <w:spacing w:val="2"/>
          <w:sz w:val="22"/>
        </w:rPr>
        <w:t>反</w:t>
      </w:r>
      <w:r>
        <w:rPr>
          <w:rFonts w:hint="eastAsia" w:ascii="方正书宋_GBK" w:hAnsi="方正书宋_GBK" w:eastAsia="方正书宋_GBK"/>
          <w:spacing w:val="-4"/>
          <w:sz w:val="22"/>
        </w:rPr>
        <w:t>之，辖区内的城镇污水处理厂配备再生水回用系统，其再生水利用量已经污染减排核查确认，则</w:t>
      </w:r>
    </w:p>
    <w:p>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　　城镇生活污水排放量=城镇生活污水排放系数×城镇人口数×365 -城镇污水处理厂再生水利用量</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化学需氧量(COD)</w:t>
      </w:r>
      <w:r>
        <w:rPr>
          <w:rFonts w:hint="eastAsia" w:ascii="方正书宋_GBK" w:hAnsi="方正书宋_GBK" w:eastAsia="方正书宋_GBK"/>
          <w:spacing w:val="2"/>
          <w:sz w:val="22"/>
        </w:rPr>
        <w:t>　指用化学氧化剂氧化水中有机污染物时所需的氧量。COD值越高，表示水中有机污染物污染越重。</w:t>
      </w:r>
    </w:p>
    <w:p>
      <w:pPr>
        <w:pStyle w:val="5"/>
        <w:spacing w:beforeLines="0" w:afterLines="0"/>
        <w:rPr>
          <w:rFonts w:hint="eastAsia" w:ascii="方正书宋_GBK" w:hAnsi="方正书宋_GBK" w:eastAsia="方正书宋_GBK"/>
          <w:sz w:val="22"/>
        </w:rPr>
      </w:pPr>
      <w:r>
        <w:rPr>
          <w:rFonts w:hint="eastAsia" w:ascii="方正黑体简体" w:hAnsi="方正黑体简体" w:eastAsia="方正黑体简体"/>
          <w:spacing w:val="2"/>
          <w:sz w:val="22"/>
        </w:rPr>
        <w:t>生活污水中化学需氧量(COD)排放量</w:t>
      </w:r>
      <w:r>
        <w:rPr>
          <w:rFonts w:hint="eastAsia" w:ascii="方正书宋_GBK" w:hAnsi="方正书宋_GBK" w:eastAsia="方正书宋_GBK"/>
          <w:spacing w:val="2"/>
          <w:sz w:val="22"/>
        </w:rPr>
        <w:t>　指城镇居民每年排放的生活污水中的COD的量。用人均系数法测算。测算公式为</w:t>
      </w:r>
      <w:r>
        <w:rPr>
          <w:rFonts w:hint="eastAsia" w:ascii="方正书宋_GBK" w:hAnsi="方正书宋_GBK" w:eastAsia="方正书宋_GBK"/>
          <w:sz w:val="22"/>
        </w:rPr>
        <w:t>：</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城镇生活污水中                城镇生活污水中          市镇非</w:t>
      </w:r>
    </w:p>
    <w:p>
      <w:pPr>
        <w:pStyle w:val="5"/>
        <w:spacing w:beforeLines="0" w:afterLines="0"/>
        <w:rPr>
          <w:rFonts w:hint="eastAsia" w:ascii="方正书宋_GBK" w:hAnsi="方正书宋_GBK" w:eastAsia="方正书宋_GBK"/>
          <w:position w:val="18"/>
          <w:sz w:val="22"/>
        </w:rPr>
      </w:pPr>
      <w:r>
        <w:rPr>
          <w:rFonts w:hint="eastAsia" w:ascii="方正书宋_GBK" w:hAnsi="方正书宋_GBK" w:eastAsia="方正书宋_GBK"/>
          <w:sz w:val="22"/>
        </w:rPr>
        <w:t xml:space="preserve">               化学需氧量（COD）排放量</w:t>
      </w:r>
      <w:r>
        <w:rPr>
          <w:rFonts w:hint="eastAsia" w:ascii="方正书宋_GBK" w:hAnsi="方正书宋_GBK" w:eastAsia="方正书宋_GBK"/>
          <w:position w:val="18"/>
          <w:sz w:val="22"/>
        </w:rPr>
        <w:t xml:space="preserve">  =  </w:t>
      </w:r>
      <w:r>
        <w:rPr>
          <w:rFonts w:hint="eastAsia" w:ascii="方正书宋_GBK" w:hAnsi="方正书宋_GBK" w:eastAsia="方正书宋_GBK"/>
          <w:sz w:val="22"/>
        </w:rPr>
        <w:t xml:space="preserve">  COD产生系数   </w:t>
      </w:r>
      <w:r>
        <w:rPr>
          <w:rFonts w:hint="eastAsia" w:ascii="方正书宋_GBK" w:hAnsi="方正书宋_GBK" w:eastAsia="方正书宋_GBK"/>
          <w:position w:val="18"/>
          <w:sz w:val="22"/>
        </w:rPr>
        <w:t xml:space="preserve"> × </w:t>
      </w:r>
      <w:r>
        <w:rPr>
          <w:rFonts w:hint="eastAsia" w:ascii="方正书宋_GBK" w:hAnsi="方正书宋_GBK" w:eastAsia="方正书宋_GBK"/>
          <w:sz w:val="22"/>
        </w:rPr>
        <w:t xml:space="preserve">   农业人口</w:t>
      </w:r>
      <w:r>
        <w:rPr>
          <w:rFonts w:hint="eastAsia" w:ascii="方正书宋_GBK" w:hAnsi="方正书宋_GBK" w:eastAsia="方正书宋_GBK"/>
          <w:position w:val="18"/>
          <w:sz w:val="22"/>
        </w:rPr>
        <w:t xml:space="preserve">  ×365</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二氧化硫排放量</w:t>
      </w:r>
      <w:r>
        <w:rPr>
          <w:rFonts w:hint="eastAsia" w:ascii="方正书宋_GBK" w:hAnsi="方正书宋_GBK" w:eastAsia="方正书宋_GBK"/>
          <w:spacing w:val="2"/>
          <w:sz w:val="22"/>
        </w:rPr>
        <w:t>　指报告期内工业SO2排放量与生活SO2排放量之和。</w:t>
      </w:r>
    </w:p>
    <w:p>
      <w:pPr>
        <w:pStyle w:val="5"/>
        <w:spacing w:beforeLines="0" w:afterLines="0"/>
        <w:rPr>
          <w:rFonts w:hint="eastAsia" w:ascii="方正书宋_GBK" w:hAnsi="方正书宋_GBK" w:eastAsia="方正书宋_GBK"/>
          <w:sz w:val="22"/>
        </w:rPr>
      </w:pPr>
      <w:r>
        <w:rPr>
          <w:rFonts w:hint="eastAsia" w:ascii="方正黑体简体" w:hAnsi="方正黑体简体" w:eastAsia="方正黑体简体"/>
          <w:spacing w:val="2"/>
          <w:sz w:val="22"/>
        </w:rPr>
        <w:t>工业SO2排放量</w:t>
      </w:r>
      <w:r>
        <w:rPr>
          <w:rFonts w:hint="eastAsia" w:ascii="方正书宋_GBK" w:hAnsi="方正书宋_GBK" w:eastAsia="方正书宋_GBK"/>
          <w:spacing w:val="2"/>
          <w:sz w:val="22"/>
        </w:rPr>
        <w:t>　指报告期内企业在燃料燃烧和生产工艺过程中排入大气的SO2总质量。工业中SO2主要来源于化石燃料（煤、石油等）的燃烧，还包括含硫矿石的冶炼或含硫酸、磷肥等生产的工业废气排放。计算公式为</w:t>
      </w:r>
      <w:r>
        <w:rPr>
          <w:rFonts w:hint="eastAsia" w:ascii="方正书宋_GBK" w:hAnsi="方正书宋_GBK" w:eastAsia="方正书宋_GBK"/>
          <w:sz w:val="22"/>
        </w:rPr>
        <w:t>：</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工业SO</w:t>
      </w:r>
      <w:r>
        <w:rPr>
          <w:rFonts w:hint="eastAsia" w:ascii="方正书宋_GBK" w:hAnsi="方正书宋_GBK" w:eastAsia="方正书宋_GBK"/>
          <w:sz w:val="22"/>
          <w:vertAlign w:val="subscript"/>
        </w:rPr>
        <w:t>2</w:t>
      </w:r>
      <w:r>
        <w:rPr>
          <w:rFonts w:hint="eastAsia" w:ascii="方正书宋_GBK" w:hAnsi="方正书宋_GBK" w:eastAsia="方正书宋_GBK"/>
          <w:sz w:val="22"/>
        </w:rPr>
        <w:t xml:space="preserve">          燃料燃烧过程      生产工艺过程</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排  放  量 </w:t>
      </w:r>
      <w:r>
        <w:rPr>
          <w:rFonts w:hint="eastAsia" w:ascii="方正书宋_GBK" w:hAnsi="方正书宋_GBK" w:eastAsia="方正书宋_GBK"/>
          <w:position w:val="18"/>
          <w:sz w:val="22"/>
        </w:rPr>
        <w:t xml:space="preserve">  ＝  </w:t>
      </w:r>
      <w:r>
        <w:rPr>
          <w:rFonts w:hint="eastAsia" w:ascii="方正书宋_GBK" w:hAnsi="方正书宋_GBK" w:eastAsia="方正书宋_GBK"/>
          <w:sz w:val="22"/>
        </w:rPr>
        <w:t xml:space="preserve"> 中废气排放量</w:t>
      </w:r>
      <w:r>
        <w:rPr>
          <w:rFonts w:hint="eastAsia" w:ascii="方正书宋_GBK" w:hAnsi="方正书宋_GBK" w:eastAsia="方正书宋_GBK"/>
          <w:position w:val="18"/>
          <w:sz w:val="22"/>
        </w:rPr>
        <w:t xml:space="preserve">  +  </w:t>
      </w:r>
      <w:r>
        <w:rPr>
          <w:rFonts w:hint="eastAsia" w:ascii="方正书宋_GBK" w:hAnsi="方正书宋_GBK" w:eastAsia="方正书宋_GBK"/>
          <w:sz w:val="22"/>
        </w:rPr>
        <w:t>中废气排放量</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工业废水治理设施数</w:t>
      </w:r>
      <w:r>
        <w:rPr>
          <w:rFonts w:hint="eastAsia" w:ascii="方正书宋_GBK" w:hAnsi="方正书宋_GBK" w:eastAsia="方正书宋_GBK"/>
          <w:spacing w:val="2"/>
          <w:sz w:val="22"/>
        </w:rPr>
        <w:t>　指报告期内企业用于防治水污染和经处理后综合利用水资源的实有设施（包括构筑物）数，以一个废水治理系统为单位统计。附属于设施内的水治理设备和配套设备不单独计算。已经报废的设施不统计在内。</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工业废水治理设施处理能力</w:t>
      </w:r>
      <w:r>
        <w:rPr>
          <w:rFonts w:hint="eastAsia" w:ascii="方正书宋_GBK" w:hAnsi="方正书宋_GBK" w:eastAsia="方正书宋_GBK"/>
          <w:spacing w:val="2"/>
          <w:sz w:val="22"/>
        </w:rPr>
        <w:t>　指报告期内企业内部的所有废水治理设施实际具有的废水处理能力。</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工业废水处理量</w:t>
      </w:r>
      <w:r>
        <w:rPr>
          <w:rFonts w:hint="eastAsia" w:ascii="方正书宋_GBK" w:hAnsi="方正书宋_GBK" w:eastAsia="方正书宋_GBK"/>
          <w:spacing w:val="2"/>
          <w:sz w:val="22"/>
        </w:rPr>
        <w:t>　指经各种水治理设施（含城镇污水处理厂、工业废水处理厂）实际处理的工业废水量，包括处理后外排的和处理后回用的工业废水量。虽经处理但未达到国家或地方排放标准的废水量也应计算在内。计算时，如遇有车间和厂排放口均有治理设施，并对同一废水分级处理时，不应重复计算工业废水处理量。</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工业废水排放量</w:t>
      </w:r>
      <w:r>
        <w:rPr>
          <w:rFonts w:hint="eastAsia" w:ascii="方正书宋_GBK" w:hAnsi="方正书宋_GBK" w:eastAsia="方正书宋_GBK"/>
          <w:spacing w:val="2"/>
          <w:sz w:val="22"/>
        </w:rPr>
        <w:t>　指报告期内经过企业厂区所有排放口排到企业外部的工业废水量。包括生产废水、外排的直接冷却水、废气治理设施废水、超标排放的矿井地下水和与工业废水混排的厂区生活污水，不包括独立外排的间接冷却水（清污不分流的间接冷却水应计算在内）。</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工业废气治理设施数</w:t>
      </w:r>
      <w:r>
        <w:rPr>
          <w:rFonts w:hint="eastAsia" w:ascii="方正书宋_GBK" w:hAnsi="方正书宋_GBK" w:eastAsia="方正书宋_GBK"/>
          <w:spacing w:val="2"/>
          <w:sz w:val="22"/>
        </w:rPr>
        <w:t>　指报告期末企业用于减少在燃料燃烧过程与生产工艺过程中排向大气的污染物或对污染物加以回收利用的废气治理设施总数，以一个废气治理系统为单位统计。包括除尘、脱硫、脱硝及其它的污染物的烟气治理设施。已报废的设施不统计在内。锅炉中的除尘装置属于“三同时”设备，应统计在内。</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工业废气治理设施处理能力</w:t>
      </w:r>
      <w:r>
        <w:rPr>
          <w:rFonts w:hint="eastAsia" w:ascii="方正书宋_GBK" w:hAnsi="方正书宋_GBK" w:eastAsia="方正书宋_GBK"/>
          <w:spacing w:val="2"/>
          <w:sz w:val="22"/>
        </w:rPr>
        <w:t>　指报告期末企业实有的废气治理设施的实际废气处理能力。</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工业废气排放量</w:t>
      </w:r>
      <w:r>
        <w:rPr>
          <w:rFonts w:hint="eastAsia" w:ascii="方正书宋_GBK" w:hAnsi="方正书宋_GBK" w:eastAsia="方正书宋_GBK"/>
          <w:spacing w:val="2"/>
          <w:sz w:val="22"/>
        </w:rPr>
        <w:t>　指报告期内企业厂区内燃料燃烧和生产工艺过程中产生的各种排入大气的含有污染物的气体的总量，以标准状态(273K，101325Pa)计算。</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一般工业固体废物产生量</w:t>
      </w:r>
      <w:r>
        <w:rPr>
          <w:rFonts w:hint="eastAsia" w:ascii="方正书宋_GBK" w:hAnsi="方正书宋_GBK" w:eastAsia="方正书宋_GBK"/>
          <w:spacing w:val="2"/>
          <w:sz w:val="22"/>
        </w:rPr>
        <w:t>　指未被列入《国家危险废物名录》或者根据国家规定的危险废物鉴别标准（GB5085）、固体废物浸出毒性浸出方法（GB5086）及固体废物浸出毒性测定方法（GB/T 15555）鉴别方法判定不具有危险特性的工业固体废物。计算公式是：</w:t>
      </w:r>
    </w:p>
    <w:p>
      <w:pPr>
        <w:pStyle w:val="5"/>
        <w:spacing w:beforeLines="0" w:afterLines="0"/>
        <w:rPr>
          <w:rFonts w:hint="eastAsia" w:ascii="方正书宋_GBK" w:hAnsi="方正书宋_GBK" w:eastAsia="方正书宋_GBK"/>
          <w:spacing w:val="2"/>
          <w:sz w:val="22"/>
        </w:rPr>
      </w:pPr>
      <w:r>
        <w:rPr>
          <w:rFonts w:hint="eastAsia" w:ascii="方正书宋_GBK" w:hAnsi="方正书宋_GBK" w:eastAsia="方正书宋_GBK"/>
          <w:spacing w:val="2"/>
          <w:sz w:val="22"/>
        </w:rPr>
        <w:t>一般工业固体废物产生量=（一般工业固体废物综合利用量－其中：综合利用往年贮存量）+一般工业固体废物贮存量+（一般工业固体废物处置量－其中：处置往年贮存量）+一般工业固体废物倾倒丢弃量</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一般工业固体废物综合利用量</w:t>
      </w:r>
      <w:r>
        <w:rPr>
          <w:rFonts w:hint="eastAsia" w:ascii="方正书宋_GBK" w:hAnsi="方正书宋_GBK" w:eastAsia="方正书宋_GBK"/>
          <w:spacing w:val="2"/>
          <w:sz w:val="22"/>
        </w:rPr>
        <w:t>　指报告期内企业通过回收、加工、循环、交换等方式，从固体废物中提取或者使其转化为可以利用的资源、能源和其他原材料的固体废物量（包括当年利用的往年工业固体废物累计贮存量）。如用作农业肥料、生产建筑材料、筑路等。综合利用量由原产生固体废物的单位统计。</w:t>
      </w:r>
    </w:p>
    <w:p>
      <w:pPr>
        <w:pStyle w:val="5"/>
        <w:spacing w:beforeLines="0" w:afterLines="0"/>
        <w:rPr>
          <w:rFonts w:hint="eastAsia" w:ascii="方正书宋_GBK" w:hAnsi="方正书宋_GBK" w:eastAsia="方正书宋_GBK"/>
          <w:sz w:val="22"/>
        </w:rPr>
      </w:pPr>
      <w:r>
        <w:rPr>
          <w:rFonts w:hint="eastAsia" w:ascii="方正黑体简体" w:hAnsi="方正黑体简体" w:eastAsia="方正黑体简体"/>
          <w:spacing w:val="2"/>
          <w:sz w:val="22"/>
        </w:rPr>
        <w:t>一般工业固体废物综合利用率</w:t>
      </w:r>
      <w:r>
        <w:rPr>
          <w:rFonts w:hint="eastAsia" w:ascii="方正书宋_GBK" w:hAnsi="方正书宋_GBK" w:eastAsia="方正书宋_GBK"/>
          <w:spacing w:val="2"/>
          <w:sz w:val="22"/>
        </w:rPr>
        <w:t>　指一般工业固体废物综合利用量占一般固体废物产生量与综合利用往年贮存量之和的百分率。计算公式为</w:t>
      </w:r>
      <w:r>
        <w:rPr>
          <w:rFonts w:hint="eastAsia" w:ascii="方正书宋_GBK" w:hAnsi="方正书宋_GBK" w:eastAsia="方正书宋_GBK"/>
          <w:sz w:val="22"/>
        </w:rPr>
        <w:t>：</w:t>
      </w:r>
    </w:p>
    <w:p>
      <w:pPr>
        <w:pStyle w:val="5"/>
        <w:spacing w:beforeLines="0" w:afterLines="0"/>
        <w:rPr>
          <w:rFonts w:hint="eastAsia" w:ascii="方正书宋_GBK" w:hAnsi="方正书宋_GBK" w:eastAsia="方正书宋_GBK"/>
          <w:position w:val="-14"/>
          <w:sz w:val="22"/>
        </w:rPr>
      </w:pPr>
      <w:r>
        <w:rPr>
          <w:rFonts w:hint="eastAsia" w:ascii="方正书宋_GBK" w:hAnsi="方正书宋_GBK" w:eastAsia="方正书宋_GBK"/>
          <w:position w:val="-14"/>
          <w:sz w:val="22"/>
        </w:rPr>
        <w:t xml:space="preserve">一般工业固体废物处置率  =  </w:t>
      </w:r>
      <w:r>
        <w:rPr>
          <w:rFonts w:hint="eastAsia" w:ascii="方正书宋_GBK" w:hAnsi="方正书宋_GBK" w:eastAsia="方正书宋_GBK"/>
          <w:sz w:val="22"/>
        </w:rPr>
        <w:t xml:space="preserve">                 一般工业固体废物处置量                  </w:t>
      </w:r>
      <w:r>
        <w:rPr>
          <w:rFonts w:hint="eastAsia" w:ascii="方正书宋_GBK" w:hAnsi="方正书宋_GBK" w:eastAsia="方正书宋_GBK"/>
          <w:position w:val="-14"/>
          <w:sz w:val="22"/>
        </w:rPr>
        <w:t xml:space="preserve">  ×100%</w:t>
      </w:r>
    </w:p>
    <w:p>
      <w:pPr>
        <w:pStyle w:val="5"/>
        <w:spacing w:beforeLines="0" w:afterLines="0"/>
        <w:rPr>
          <w:rFonts w:hint="eastAsia" w:ascii="方正黑体_GBK" w:hAnsi="方正黑体_GBK" w:eastAsia="方正黑体_GBK"/>
          <w:sz w:val="22"/>
        </w:rPr>
      </w:pPr>
      <w:r>
        <w:rPr>
          <w:rFonts w:hint="eastAsia" w:ascii="方正黑体_GBK" w:hAnsi="方正黑体_GBK" w:eastAsia="方正黑体_GBK"/>
          <w:sz w:val="22"/>
        </w:rPr>
        <w:t xml:space="preserve">                                                      </w:t>
      </w:r>
      <w:r>
        <w:rPr>
          <w:rFonts w:hint="eastAsia" w:ascii="方正书宋_GBK" w:hAnsi="方正书宋_GBK" w:eastAsia="方正书宋_GBK"/>
          <w:sz w:val="22"/>
        </w:rPr>
        <w:t>一般工业固体废物产生量+处置往年贮存量</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一般工业固体废物贮存量</w:t>
      </w:r>
      <w:r>
        <w:rPr>
          <w:rFonts w:hint="eastAsia" w:ascii="方正书宋_GBK" w:hAnsi="方正书宋_GBK" w:eastAsia="方正书宋_GBK"/>
          <w:spacing w:val="2"/>
          <w:sz w:val="22"/>
        </w:rPr>
        <w:t>　指报告期内企业以综合利用或处置为目的，将固体废物暂时贮存或堆存在专设的贮存设施或专设的集中堆存场所内的数量。专设的固体废物贮存场所或贮存设施必须有防扩散、防流失、防渗漏、防止污染大气、水体的措施。</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一般工业固体废物处置量</w:t>
      </w:r>
      <w:r>
        <w:rPr>
          <w:rFonts w:hint="eastAsia" w:ascii="方正书宋_GBK" w:hAnsi="方正书宋_GBK" w:eastAsia="方正书宋_GBK"/>
          <w:spacing w:val="2"/>
          <w:sz w:val="22"/>
        </w:rPr>
        <w:t>　指报告期内企业将工业固体废物焚烧和用其他改变工业固体废物的物理、化学、生物特性的方法，达到减少或者消除其危险成分的活动，或者将工业固体废物最终置于符合环境保护规定要求的填埋场的活动中，所消纳固体废物的量。</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一般工业固体废物处置往年贮存量</w:t>
      </w:r>
      <w:r>
        <w:rPr>
          <w:rFonts w:hint="eastAsia" w:ascii="方正书宋_GBK" w:hAnsi="方正书宋_GBK" w:eastAsia="方正书宋_GBK"/>
          <w:spacing w:val="2"/>
          <w:sz w:val="22"/>
        </w:rPr>
        <w:t>　指报告期内企业按照《关于固体废物处置、综合利用的作业方式的规定》的要求，处置的上一报告期末企业累计贮存的工业固体废物的量。</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一般工业固体废物倾倒丢弃量</w:t>
      </w:r>
      <w:r>
        <w:rPr>
          <w:rFonts w:hint="eastAsia" w:ascii="方正书宋_GBK" w:hAnsi="方正书宋_GBK" w:eastAsia="方正书宋_GBK"/>
          <w:spacing w:val="2"/>
          <w:sz w:val="22"/>
        </w:rPr>
        <w:t>　指报告期内企业将所产生的固体废物倾倒或者丢弃到固体废物污染防治设施、场所以外的量。</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城市污水排放量</w:t>
      </w:r>
      <w:r>
        <w:rPr>
          <w:rFonts w:hint="eastAsia" w:ascii="方正书宋_GBK" w:hAnsi="方正书宋_GBK" w:eastAsia="方正书宋_GBK"/>
          <w:spacing w:val="2"/>
          <w:sz w:val="22"/>
        </w:rPr>
        <w:t>　指城市生活污水、工业废水的排放总量，包括从排水管道和排水沟（渠）排出的污水量。</w:t>
      </w:r>
    </w:p>
    <w:p>
      <w:pPr>
        <w:pStyle w:val="5"/>
        <w:spacing w:beforeLines="0" w:afterLines="0"/>
        <w:rPr>
          <w:rFonts w:hint="eastAsia" w:ascii="方正书宋_GBK" w:hAnsi="方正书宋_GBK" w:eastAsia="方正书宋_GBK"/>
          <w:spacing w:val="2"/>
          <w:sz w:val="22"/>
        </w:rPr>
      </w:pPr>
      <w:r>
        <w:rPr>
          <w:rFonts w:hint="eastAsia" w:ascii="方正黑体简体" w:hAnsi="方正黑体简体" w:eastAsia="方正黑体简体"/>
          <w:spacing w:val="2"/>
          <w:sz w:val="22"/>
        </w:rPr>
        <w:t>城市污水处理量</w:t>
      </w:r>
      <w:r>
        <w:rPr>
          <w:rFonts w:hint="eastAsia" w:ascii="方正书宋_GBK" w:hAnsi="方正书宋_GBK" w:eastAsia="方正书宋_GBK"/>
          <w:spacing w:val="2"/>
          <w:sz w:val="22"/>
        </w:rPr>
        <w:t xml:space="preserve">  指城市污水处理厂和处理装置实际处理的污水量。包括物理处理量、生物处理量和化学处理量。</w:t>
      </w:r>
    </w:p>
    <w:p>
      <w:pPr>
        <w:pStyle w:val="5"/>
        <w:spacing w:beforeLines="0" w:afterLines="0"/>
        <w:rPr>
          <w:rFonts w:hint="eastAsia" w:ascii="方正书宋_GBK" w:hAnsi="方正书宋_GBK" w:eastAsia="方正书宋_GBK"/>
          <w:sz w:val="22"/>
        </w:rPr>
      </w:pPr>
      <w:r>
        <w:rPr>
          <w:rFonts w:hint="eastAsia" w:ascii="方正黑体简体" w:hAnsi="方正黑体简体" w:eastAsia="方正黑体简体"/>
          <w:spacing w:val="2"/>
          <w:sz w:val="22"/>
        </w:rPr>
        <w:t>污水处理厂集中处理率</w:t>
      </w:r>
      <w:r>
        <w:rPr>
          <w:rFonts w:hint="eastAsia" w:ascii="方正书宋_GBK" w:hAnsi="方正书宋_GBK" w:eastAsia="方正书宋_GBK"/>
          <w:spacing w:val="2"/>
          <w:sz w:val="22"/>
        </w:rPr>
        <w:t>　指城市污水处理厂处理的污水量与城市污水排放总量的比率。计算公式</w:t>
      </w:r>
      <w:r>
        <w:rPr>
          <w:rFonts w:hint="eastAsia" w:ascii="方正书宋_GBK" w:hAnsi="方正书宋_GBK" w:eastAsia="方正书宋_GBK"/>
          <w:sz w:val="22"/>
        </w:rPr>
        <w:t>：</w:t>
      </w:r>
    </w:p>
    <w:p>
      <w:pPr>
        <w:pStyle w:val="5"/>
        <w:spacing w:beforeLines="0" w:afterLines="0"/>
        <w:rPr>
          <w:rFonts w:hint="eastAsia" w:ascii="方正书宋_GBK" w:hAnsi="方正书宋_GBK" w:eastAsia="方正书宋_GBK"/>
          <w:position w:val="-16"/>
          <w:sz w:val="22"/>
        </w:rPr>
      </w:pPr>
      <w:r>
        <w:rPr>
          <w:rFonts w:hint="eastAsia" w:ascii="方正书宋_GBK" w:hAnsi="方正书宋_GBK" w:eastAsia="方正书宋_GBK"/>
          <w:position w:val="-16"/>
          <w:sz w:val="22"/>
        </w:rPr>
        <w:t xml:space="preserve">污水处理厂集中处理率  ＝ </w:t>
      </w:r>
      <w:r>
        <w:rPr>
          <w:rFonts w:hint="eastAsia" w:ascii="方正书宋_GBK" w:hAnsi="方正书宋_GBK" w:eastAsia="方正书宋_GBK"/>
          <w:sz w:val="22"/>
        </w:rPr>
        <w:t xml:space="preserve"> 城市污水处理厂污水处理量 </w:t>
      </w:r>
      <w:r>
        <w:rPr>
          <w:rFonts w:hint="eastAsia" w:ascii="方正书宋_GBK" w:hAnsi="方正书宋_GBK" w:eastAsia="方正书宋_GBK"/>
          <w:position w:val="-16"/>
          <w:sz w:val="22"/>
        </w:rPr>
        <w:t xml:space="preserve">  ×100%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城市污水排放总量</w:t>
      </w: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Main Statistical Indicators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Land survey area</w:t>
      </w:r>
      <w:r>
        <w:rPr>
          <w:rFonts w:hint="default" w:ascii="Times New Roman" w:hAnsi="Times New Roman" w:eastAsia="Times New Roman"/>
          <w:spacing w:val="2"/>
          <w:sz w:val="21"/>
        </w:rPr>
        <w:t> refers to the total land survey area within the administrative region, including agricultural land, construction land and unused land.</w:t>
      </w:r>
    </w:p>
    <w:p>
      <w:pPr>
        <w:pStyle w:val="5"/>
        <w:spacing w:beforeLines="0" w:afterLines="0"/>
        <w:rPr>
          <w:rFonts w:hint="default" w:ascii="Times New Roman" w:hAnsi="Times New Roman" w:eastAsia="Times New Roman"/>
          <w:spacing w:val="2"/>
          <w:sz w:val="21"/>
        </w:rPr>
      </w:pPr>
      <w:bookmarkStart w:id="0" w:name="_GoBack"/>
      <w:bookmarkEnd w:id="0"/>
      <w:r>
        <w:rPr>
          <w:rFonts w:hint="default" w:ascii="Times New Roman" w:hAnsi="Times New Roman" w:eastAsia="Times New Roman"/>
          <w:b/>
          <w:spacing w:val="2"/>
          <w:sz w:val="21"/>
        </w:rPr>
        <w:t>Cultivated Land </w:t>
      </w:r>
      <w:r>
        <w:rPr>
          <w:rFonts w:hint="default" w:ascii="Times New Roman" w:hAnsi="Times New Roman" w:eastAsia="Times New Roman"/>
          <w:spacing w:val="2"/>
          <w:sz w:val="21"/>
        </w:rPr>
        <w:t>refers to land mainly for the regular cultivation of farm crops (including vegetables), with some fruit trees, mulberry trees and others, covers cultivated land, newly-developed land, reclaimed land, consolidated land, fallow, beach land that can guarantee one harvest per year on average. It also covers fixed ditch, canal, road and sill (ridge) with width less than 1 meter in the South and 2 meters in the North, lands planted temporarily with herbs, grass, flowers and nursery stocks, and other cultivated land with temporary change of use.</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Garden Land </w:t>
      </w:r>
      <w:r>
        <w:rPr>
          <w:rFonts w:hint="default" w:ascii="Times New Roman" w:hAnsi="Times New Roman" w:eastAsia="Times New Roman"/>
          <w:spacing w:val="2"/>
          <w:sz w:val="21"/>
        </w:rPr>
        <w:t>refers to land for intensive cultivation of perennial woody plants and herbs to collect fruits, leaves, roots, stems and juice, with a covering rate over 50% and plant number per mu over 70% of rational plant number. Land for nursery is included.</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Forestland </w:t>
      </w:r>
      <w:r>
        <w:rPr>
          <w:rFonts w:hint="default" w:ascii="Times New Roman" w:hAnsi="Times New Roman" w:eastAsia="Times New Roman"/>
          <w:spacing w:val="2"/>
          <w:sz w:val="21"/>
        </w:rPr>
        <w:t>refers to land for planting arbor, bamboo, bush shrub and land in coastal zones for planting mangrove. It includes slash, but not the green belts in residential area, forests requested for railway and highway, and the dike protection forest around rivers and ditches.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Pastureland </w:t>
      </w:r>
      <w:r>
        <w:rPr>
          <w:rFonts w:hint="default" w:ascii="Times New Roman" w:hAnsi="Times New Roman" w:eastAsia="Times New Roman"/>
          <w:spacing w:val="2"/>
          <w:sz w:val="21"/>
        </w:rPr>
        <w:t>refers to land mainly for the growth of herbs.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Land for residential areas and mining </w:t>
      </w:r>
      <w:r>
        <w:rPr>
          <w:rFonts w:hint="default" w:ascii="Times New Roman" w:hAnsi="Times New Roman" w:eastAsia="Times New Roman"/>
          <w:spacing w:val="2"/>
          <w:sz w:val="21"/>
        </w:rPr>
        <w:t>refers to the urban and rural residential areas, independent residential areas and residential areas outside of the mining, national defense, scenic spots and historical sites, such as land for enterprises and institutions, including the internal transportation, landscaping.</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Land used for transportation </w:t>
      </w:r>
      <w:r>
        <w:rPr>
          <w:rFonts w:hint="default" w:ascii="Times New Roman" w:hAnsi="Times New Roman" w:eastAsia="Times New Roman"/>
          <w:spacing w:val="2"/>
          <w:sz w:val="21"/>
        </w:rPr>
        <w:t>refers to the land used for transportation, such as ground lines and stations. Including civil airports, ports, docks, ground transport pipelines and various road land.</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Land used for water conservancy facilities </w:t>
      </w:r>
      <w:r>
        <w:rPr>
          <w:rFonts w:hint="default" w:ascii="Times New Roman" w:hAnsi="Times New Roman" w:eastAsia="Times New Roman"/>
          <w:spacing w:val="2"/>
          <w:sz w:val="21"/>
        </w:rPr>
        <w:t>refers to land used for water area, mudflats, ditches and hydraulic structures. It’s not included in flood detention areas and reclaimed beaches, such as arable land, garden land, woodland, residential areas and roads.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Wetlands </w:t>
      </w:r>
      <w:r>
        <w:rPr>
          <w:rFonts w:hint="default" w:ascii="Times New Roman" w:hAnsi="Times New Roman" w:eastAsia="Times New Roman"/>
          <w:spacing w:val="2"/>
          <w:sz w:val="21"/>
        </w:rPr>
        <w:t xml:space="preserve">refer to marshland and peat bog, whether natural or man-made, permanent or temporary; water covered areas, whether stagnant or flowing, with fresh or semi-fresh or salty water that is less than 6 meters deep at low tide; as well as coral beach, weed beach, mud beach, mangrove, river outlet, rivers, fresh-water marshland, marshland forests, lakes, salty bog and salt lakes along the coastal areas. </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Total Area of A forestation </w:t>
      </w:r>
      <w:r>
        <w:rPr>
          <w:rFonts w:hint="default" w:ascii="Times New Roman" w:hAnsi="Times New Roman" w:eastAsia="Times New Roman"/>
          <w:spacing w:val="2"/>
          <w:sz w:val="21"/>
        </w:rPr>
        <w:t xml:space="preserve">refers to the total area of land suitable for a forestation, including barren hills, idle land, sand dunes, “grain for green” land, on which acres of arbores or bushes are planted through manual planting, airplane planting, plant seedlings, etc. in accordance with the required density standards of the Technical Procedures of A forestation, and with a survival rate of over 85% in line with the Implementing Rules of the Forest Law of the People’s Republic of China (or a survival rate of 75% in areas with less that 400 mm of annual rainfall and without irrigation facilities). Included in this category are trees planted alone the roadsides, riversides, or next to houses that occupy an area over 0.066 hectares, or where more than 4 lines of trees are planted. </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Area of Man-made Forests </w:t>
      </w:r>
      <w:r>
        <w:rPr>
          <w:rFonts w:hint="default" w:ascii="Times New Roman" w:hAnsi="Times New Roman" w:eastAsia="Times New Roman"/>
          <w:spacing w:val="2"/>
          <w:sz w:val="21"/>
        </w:rPr>
        <w:t>refer to the area of stable growing forests, planted manually or by airplanes, with a survival rate of 80% or higher of the designed number of trees per hectare, or with a canopy density of 0.20 - or above after 3-5 years of manual planting or 5-7 years of airplane planting.</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Airplane sowing </w:t>
      </w:r>
      <w:r>
        <w:rPr>
          <w:rFonts w:hint="default" w:ascii="Times New Roman" w:hAnsi="Times New Roman" w:eastAsia="Times New Roman"/>
          <w:spacing w:val="2"/>
          <w:sz w:val="21"/>
        </w:rPr>
        <w:t>refers to technical measures of airplane planting with of appropriate artificial help taken under the influence of natural power to restore certain amount of seedlings on land suitable for afforestation, with an aim of increasing vegetation coverage rate of forests or improving forest quality. It includes barren afforestation and aerial seeding forest afforestation.</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New Closing Hillsides to Facilitate Afforestation </w:t>
      </w:r>
      <w:r>
        <w:rPr>
          <w:rFonts w:hint="default" w:ascii="Times New Roman" w:hAnsi="Times New Roman" w:eastAsia="Times New Roman"/>
          <w:spacing w:val="2"/>
          <w:sz w:val="21"/>
        </w:rPr>
        <w:t>is a technical measure by banning and aritificial means to form forest or shrub and grass or improve forest quality land, to suitable for forest, forest land without stumpage, sparse forest land, or low quality forest, shrub forest.</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Restoration of Degraded Forest </w:t>
      </w:r>
      <w:r>
        <w:rPr>
          <w:rFonts w:hint="default" w:ascii="Times New Roman" w:hAnsi="Times New Roman" w:eastAsia="Times New Roman"/>
          <w:spacing w:val="2"/>
          <w:sz w:val="21"/>
        </w:rPr>
        <w:t>In order to improve the vitality and structure of forest, effectively curb forest degradation, improve forest quality and restore forest function, management measures are taken to the forest of structural imbalance and stability reduction, function reduction or even loss and natural regeneration ability is weak, which include  structural adjustment, species replacement, replanting sowing, grafting rejuvenation, etc.</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Artificial Regeneration </w:t>
      </w:r>
      <w:r>
        <w:rPr>
          <w:rFonts w:hint="default" w:ascii="Times New Roman" w:hAnsi="Times New Roman" w:eastAsia="Times New Roman"/>
          <w:spacing w:val="2"/>
          <w:sz w:val="21"/>
        </w:rPr>
        <w:t>refers to forest reforming process in logging slash, Slash Burning, the glade through afforestation. Including artificially promoting natural regeneration of promoting the growth and development of target tree species seedlings by weeding, root pruning or stubble rejuvenation, sowing and replanting, removing tillering and thinning, etc.</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Total Water Resources </w:t>
      </w:r>
      <w:r>
        <w:rPr>
          <w:rFonts w:hint="default" w:ascii="Times New Roman" w:hAnsi="Times New Roman" w:eastAsia="Times New Roman"/>
          <w:spacing w:val="2"/>
          <w:sz w:val="21"/>
        </w:rPr>
        <w:t xml:space="preserve">refers to total volume of surface water and groundwater and is measured as run-off for surface water and replenishment of groundwater with rainfall in local area. </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Surface Water Resources </w:t>
      </w:r>
      <w:r>
        <w:rPr>
          <w:rFonts w:hint="default" w:ascii="Times New Roman" w:hAnsi="Times New Roman" w:eastAsia="Times New Roman"/>
          <w:spacing w:val="2"/>
          <w:sz w:val="21"/>
        </w:rPr>
        <w:t>refers to total volume of year by year renewable dynamic resources which exist in rivers, lakes, glaciers and other surface water and are the natural run-off of rivers.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Duplicated Measurement between Surface Water and Groundwater </w:t>
      </w:r>
      <w:r>
        <w:rPr>
          <w:rFonts w:hint="default" w:ascii="Times New Roman" w:hAnsi="Times New Roman" w:eastAsia="Times New Roman"/>
          <w:spacing w:val="2"/>
          <w:sz w:val="21"/>
        </w:rPr>
        <w:t xml:space="preserve">refers to mutual exchange between surface water and groundwater, i.e. run-off of rivers includes some depletion into groundwater while groundwater includes some replenishment from surface water. </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Water Supply </w:t>
      </w:r>
      <w:r>
        <w:rPr>
          <w:rFonts w:hint="default" w:ascii="Times New Roman" w:hAnsi="Times New Roman" w:eastAsia="Times New Roman"/>
          <w:spacing w:val="2"/>
          <w:sz w:val="21"/>
        </w:rPr>
        <w:t xml:space="preserve">refers to gross water of various sources supplied to consumers, including losses during distribution. </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Water Use </w:t>
      </w:r>
      <w:r>
        <w:rPr>
          <w:rFonts w:hint="default" w:ascii="Times New Roman" w:hAnsi="Times New Roman" w:eastAsia="Times New Roman"/>
          <w:spacing w:val="2"/>
          <w:sz w:val="21"/>
        </w:rPr>
        <w:t>refers to gross water used by various water users, including losses during distribution.</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 xml:space="preserve">Water Use by Agriculture  </w:t>
      </w:r>
      <w:r>
        <w:rPr>
          <w:rFonts w:hint="default" w:ascii="Times New Roman" w:hAnsi="Times New Roman" w:eastAsia="Times New Roman"/>
          <w:spacing w:val="2"/>
          <w:sz w:val="21"/>
        </w:rPr>
        <w:t>includes uses of water by irrigation of farming fields, forestry and orchards, irrigation of grassland, replenishment of fishing farms and water used by animal husbandry.</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Water Use by Industry </w:t>
      </w:r>
      <w:r>
        <w:rPr>
          <w:rFonts w:hint="default" w:ascii="Times New Roman" w:hAnsi="Times New Roman" w:eastAsia="Times New Roman"/>
          <w:spacing w:val="2"/>
          <w:sz w:val="21"/>
        </w:rPr>
        <w:t xml:space="preserve">refers to new withdrawals of water, excluding reuse of water within enterprises. </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Water Use by Living Consumption </w:t>
      </w:r>
      <w:r>
        <w:rPr>
          <w:rFonts w:hint="default" w:ascii="Times New Roman" w:hAnsi="Times New Roman" w:eastAsia="Times New Roman"/>
          <w:spacing w:val="2"/>
          <w:sz w:val="21"/>
        </w:rPr>
        <w:t>includes use of water for living consumption in both urban and rural areas. Urban water use by living consumption is composed of household use and public use (including tertiary industry and construction). Rural water use by living consumption includes water used by households.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Water Use by Ecological and Environmental Protection </w:t>
      </w:r>
      <w:r>
        <w:rPr>
          <w:rFonts w:hint="default" w:ascii="Times New Roman" w:hAnsi="Times New Roman" w:eastAsia="Times New Roman"/>
          <w:spacing w:val="2"/>
          <w:sz w:val="21"/>
        </w:rPr>
        <w:t>includes replenishment of rivers and lakes and use for urban environment.</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Urban(County) population </w:t>
      </w:r>
      <w:r>
        <w:rPr>
          <w:rFonts w:hint="default" w:ascii="Times New Roman" w:hAnsi="Times New Roman" w:eastAsia="Times New Roman"/>
          <w:spacing w:val="2"/>
          <w:sz w:val="21"/>
        </w:rPr>
        <w:t>refers to the number of registered population within the designated urban(county) area. The household registration statistics of the public security department shall be reported.</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Urban(County) area </w:t>
      </w:r>
      <w:r>
        <w:rPr>
          <w:rFonts w:hint="default" w:ascii="Times New Roman" w:hAnsi="Times New Roman" w:eastAsia="Times New Roman"/>
          <w:spacing w:val="2"/>
          <w:sz w:val="21"/>
        </w:rPr>
        <w:t>refers to the urban and county area of a city. The urban areas include: (1) the district under the sub-district office of the city; (2) other town (township) areas connected to urban public facilities, residential facilities and municipal public facilities; (3) special areas such as industrial and mining areas, development zones, scientific research units and colleges and universities with a permanent population of more than 3,000 people.</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Built-up area </w:t>
      </w:r>
      <w:r>
        <w:rPr>
          <w:rFonts w:hint="default" w:ascii="Times New Roman" w:hAnsi="Times New Roman" w:eastAsia="Times New Roman"/>
          <w:spacing w:val="2"/>
          <w:sz w:val="21"/>
        </w:rPr>
        <w:t>refers to an area within an urban administrative region that has been developed and constructed on a large scale, and that has basic municipal public facilities and public facilities. For the core cities, it includes concentrated continuous parts as well as several scattered areas that have been built in pieces and have basic municipal utilities and public facilities. For more than one town, it consists of several areas developed and constructed in succession, with municipal utilities and basic public facilities. Therefore, the scope of built-up area generally refers to the area covered by the outer contour line of the built-up area, that is, the actual construction land of this city reaches.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Green cover area </w:t>
      </w:r>
      <w:r>
        <w:rPr>
          <w:rFonts w:hint="default" w:ascii="Times New Roman" w:hAnsi="Times New Roman" w:eastAsia="Times New Roman"/>
          <w:spacing w:val="2"/>
          <w:sz w:val="21"/>
        </w:rPr>
        <w:t>refers to the vertical projection area of all vegetation such as trees, shrubs and lawns in the city. It includes the green area of park, protective green space, production green space, attached green space and other green space, the green area of roof and the covered area of scattered trees, excluding the water area of all kinds of green space and the area not covered by vegetation (hardening roads, buildings without roof greening, etc.). Overlapping shrubs and herbs under the canopy of trees cannot be counted repeatedly.</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Park green area per capita </w:t>
      </w:r>
      <w:r>
        <w:rPr>
          <w:rFonts w:hint="default" w:ascii="Times New Roman" w:hAnsi="Times New Roman" w:eastAsia="Times New Roman"/>
          <w:spacing w:val="2"/>
          <w:sz w:val="21"/>
        </w:rPr>
        <w:t>refers to the park green area per urban population in the area at the end of the report period. The population is to be counted at the end of the year. The calculation formula is: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park green area per capita = Green area of the park / (urban population + temporary urban residents) ×100%</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Greening coverage rate of built-up areas </w:t>
      </w:r>
      <w:r>
        <w:rPr>
          <w:rFonts w:hint="default" w:ascii="Times New Roman" w:hAnsi="Times New Roman" w:eastAsia="Times New Roman"/>
          <w:spacing w:val="2"/>
          <w:sz w:val="21"/>
        </w:rPr>
        <w:t>refers to the ratio of greening coverage area and built-up area at the end of the report. The calculation formula is: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Green coverage of built-up area=Green coverage area of built-up area / Built-up area ×100%</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Total amount of waste water discharge </w:t>
      </w:r>
      <w:r>
        <w:rPr>
          <w:rFonts w:hint="default" w:ascii="Times New Roman" w:hAnsi="Times New Roman" w:eastAsia="Times New Roman"/>
          <w:spacing w:val="2"/>
          <w:sz w:val="21"/>
        </w:rPr>
        <w:t>refers to the total amount of industrial waste water discharge, urban sewage discharge and sewage discharge from centralized treatment facilities.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Urban Non-industrial Waste Water Discharge </w:t>
      </w:r>
      <w:r>
        <w:rPr>
          <w:rFonts w:hint="default" w:ascii="Times New Roman" w:hAnsi="Times New Roman" w:eastAsia="Times New Roman"/>
          <w:spacing w:val="2"/>
          <w:sz w:val="21"/>
        </w:rPr>
        <w:t>refers to annual discharge of non-industrial waste water by urban households.It is estimated by per capita coefficient using the formula:</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pacing w:val="2"/>
          <w:sz w:val="21"/>
        </w:rPr>
        <w:t>If the urban sewage treatment plant is not installed within the jurisdiction of reclaimed water reuse system, no renewable water dosage, then</w:t>
      </w:r>
    </w:p>
    <w:p>
      <w:pPr>
        <w:pStyle w:val="5"/>
        <w:spacing w:beforeLines="0" w:afterLines="0"/>
        <w:rPr>
          <w:rFonts w:hint="default" w:ascii="Times New Roman" w:hAnsi="Times New Roman" w:eastAsia="Times New Roman"/>
          <w:spacing w:val="-6"/>
          <w:sz w:val="21"/>
        </w:rPr>
      </w:pPr>
      <w:r>
        <w:rPr>
          <w:rFonts w:hint="default" w:ascii="Times New Roman" w:hAnsi="Times New Roman" w:eastAsia="Times New Roman"/>
          <w:spacing w:val="-6"/>
          <w:sz w:val="21"/>
        </w:rPr>
        <w:t xml:space="preserve">         Urban non-industrial    </w:t>
      </w:r>
      <w:r>
        <w:rPr>
          <w:rFonts w:hint="default" w:ascii="Times New Roman" w:hAnsi="Times New Roman" w:eastAsia="Times New Roman"/>
          <w:spacing w:val="-6"/>
          <w:position w:val="-18"/>
          <w:sz w:val="21"/>
        </w:rPr>
        <w:t>=</w:t>
      </w:r>
      <w:r>
        <w:rPr>
          <w:rFonts w:hint="default" w:ascii="Times New Roman" w:hAnsi="Times New Roman" w:eastAsia="Times New Roman"/>
          <w:spacing w:val="-6"/>
          <w:sz w:val="21"/>
        </w:rPr>
        <w:t xml:space="preserve">  Urban non-industrial waste  </w:t>
      </w:r>
      <w:r>
        <w:rPr>
          <w:rFonts w:hint="default" w:ascii="Times New Roman" w:hAnsi="Times New Roman" w:eastAsia="Times New Roman"/>
          <w:spacing w:val="-6"/>
          <w:position w:val="-18"/>
          <w:sz w:val="21"/>
        </w:rPr>
        <w:t>×</w:t>
      </w:r>
      <w:r>
        <w:rPr>
          <w:rFonts w:hint="default" w:ascii="Times New Roman" w:hAnsi="Times New Roman" w:eastAsia="Times New Roman"/>
          <w:spacing w:val="-6"/>
          <w:sz w:val="21"/>
        </w:rPr>
        <w:t xml:space="preserve">  Urban non-industrial  </w:t>
      </w:r>
      <w:r>
        <w:rPr>
          <w:rFonts w:hint="default" w:ascii="Times New Roman" w:hAnsi="Times New Roman" w:eastAsia="Times New Roman"/>
          <w:spacing w:val="-6"/>
          <w:position w:val="-18"/>
          <w:sz w:val="21"/>
        </w:rPr>
        <w:t xml:space="preserve">× 365 </w:t>
      </w:r>
      <w:r>
        <w:rPr>
          <w:rFonts w:hint="default" w:ascii="Times New Roman" w:hAnsi="Times New Roman" w:eastAsia="Times New Roman"/>
          <w:spacing w:val="-6"/>
          <w:position w:val="-10"/>
          <w:sz w:val="21"/>
        </w:rPr>
        <w:t>_</w:t>
      </w:r>
      <w:r>
        <w:rPr>
          <w:rFonts w:hint="default" w:ascii="Times New Roman" w:hAnsi="Times New Roman" w:eastAsia="Times New Roman"/>
          <w:spacing w:val="-6"/>
          <w:position w:val="-18"/>
          <w:sz w:val="21"/>
        </w:rPr>
        <w:t xml:space="preserve"> </w:t>
      </w:r>
      <w:r>
        <w:rPr>
          <w:rFonts w:hint="default" w:ascii="Times New Roman" w:hAnsi="Times New Roman" w:eastAsia="Times New Roman"/>
          <w:spacing w:val="-6"/>
          <w:sz w:val="21"/>
        </w:rPr>
        <w:t>Urban sewage  treatment plant</w:t>
      </w:r>
    </w:p>
    <w:p>
      <w:pPr>
        <w:pStyle w:val="5"/>
        <w:spacing w:beforeLines="0" w:afterLines="0"/>
        <w:rPr>
          <w:rFonts w:hint="default" w:ascii="Times New Roman" w:hAnsi="Times New Roman" w:eastAsia="Times New Roman"/>
          <w:spacing w:val="-6"/>
          <w:w w:val="98"/>
          <w:sz w:val="21"/>
        </w:rPr>
      </w:pPr>
      <w:r>
        <w:rPr>
          <w:rFonts w:hint="default" w:ascii="Times New Roman" w:hAnsi="Times New Roman" w:eastAsia="Times New Roman"/>
          <w:spacing w:val="-6"/>
          <w:sz w:val="21"/>
        </w:rPr>
        <w:t xml:space="preserve">         Waste water discharge      Water discharge coefficient            Population                          </w:t>
      </w:r>
      <w:r>
        <w:rPr>
          <w:rFonts w:hint="default" w:ascii="Times New Roman" w:hAnsi="Times New Roman" w:eastAsia="Times New Roman"/>
          <w:spacing w:val="-6"/>
          <w:w w:val="99"/>
          <w:sz w:val="21"/>
        </w:rPr>
        <w:t xml:space="preserve"> </w:t>
      </w:r>
      <w:r>
        <w:rPr>
          <w:rFonts w:hint="default" w:ascii="Times New Roman" w:hAnsi="Times New Roman" w:eastAsia="Times New Roman"/>
          <w:spacing w:val="-6"/>
          <w:w w:val="98"/>
          <w:sz w:val="21"/>
        </w:rPr>
        <w:t>Regeneration water consumption</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Chemical Oxygen Demand (COD) </w:t>
      </w:r>
      <w:r>
        <w:rPr>
          <w:rFonts w:hint="default" w:ascii="Times New Roman" w:hAnsi="Times New Roman" w:eastAsia="Times New Roman"/>
          <w:spacing w:val="2"/>
          <w:sz w:val="21"/>
        </w:rPr>
        <w:t>refers to the amount of oxygen required to oxidize organic pollutants in water with chemical oxidants. The higher the COD value, the heavier the pollution of organic pollutants in the water.</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Volume of Chemical Oxygen Demand (COD) Generated by Urban Non-industrial Waster Water </w:t>
      </w:r>
      <w:r>
        <w:rPr>
          <w:rFonts w:hint="default" w:ascii="Times New Roman" w:hAnsi="Times New Roman" w:eastAsia="Times New Roman"/>
          <w:spacing w:val="2"/>
          <w:sz w:val="21"/>
        </w:rPr>
        <w:t xml:space="preserve">refers to chemical oxygen demand generated through the annual discharge of non-industrial waste water by urban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pacing w:val="2"/>
          <w:sz w:val="21"/>
        </w:rPr>
        <w:t>Volume of chemical oxygen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demand (cod) generated    </w:t>
      </w:r>
      <w:r>
        <w:rPr>
          <w:rFonts w:hint="default" w:ascii="Times New Roman" w:hAnsi="Times New Roman" w:eastAsia="Times New Roman"/>
          <w:position w:val="-14"/>
          <w:sz w:val="21"/>
        </w:rPr>
        <w:t xml:space="preserve">  =   </w:t>
      </w:r>
      <w:r>
        <w:rPr>
          <w:rFonts w:hint="default" w:ascii="Times New Roman" w:hAnsi="Times New Roman" w:eastAsia="Times New Roman"/>
          <w:sz w:val="21"/>
        </w:rPr>
        <w:t xml:space="preserve">    </w:t>
      </w:r>
      <w:r>
        <w:rPr>
          <w:rFonts w:hint="default" w:ascii="Times New Roman" w:hAnsi="Times New Roman" w:eastAsia="Times New Roman"/>
          <w:position w:val="26"/>
          <w:sz w:val="21"/>
        </w:rPr>
        <w:t xml:space="preserve">  Coefficient of COD  </w:t>
      </w:r>
      <w:r>
        <w:rPr>
          <w:rFonts w:hint="default" w:ascii="Times New Roman" w:hAnsi="Times New Roman" w:eastAsia="Times New Roman"/>
          <w:sz w:val="21"/>
        </w:rPr>
        <w:t xml:space="preserve">       </w:t>
      </w:r>
      <w:r>
        <w:rPr>
          <w:rFonts w:hint="default" w:ascii="Times New Roman" w:hAnsi="Times New Roman" w:eastAsia="Times New Roman"/>
          <w:position w:val="-14"/>
          <w:sz w:val="21"/>
        </w:rPr>
        <w:t xml:space="preserve">  ×   </w:t>
      </w:r>
      <w:r>
        <w:rPr>
          <w:rFonts w:hint="default" w:ascii="Times New Roman" w:hAnsi="Times New Roman" w:eastAsia="Times New Roman"/>
          <w:sz w:val="21"/>
        </w:rPr>
        <w:t xml:space="preserve">  </w:t>
      </w:r>
      <w:r>
        <w:rPr>
          <w:rFonts w:hint="default" w:ascii="Times New Roman" w:hAnsi="Times New Roman" w:eastAsia="Times New Roman"/>
          <w:position w:val="26"/>
          <w:sz w:val="21"/>
        </w:rPr>
        <w:t xml:space="preserve">         urban          </w:t>
      </w:r>
      <w:r>
        <w:rPr>
          <w:rFonts w:hint="default" w:ascii="Times New Roman" w:hAnsi="Times New Roman" w:eastAsia="Times New Roman"/>
          <w:position w:val="-14"/>
          <w:sz w:val="21"/>
        </w:rPr>
        <w:t xml:space="preserve">  </w:t>
      </w:r>
      <w:r>
        <w:rPr>
          <w:rFonts w:hint="default" w:ascii="Times New Roman" w:hAnsi="Times New Roman" w:eastAsia="Times New Roman"/>
          <w:position w:val="-12"/>
          <w:sz w:val="21"/>
        </w:rPr>
        <w:t>× 365</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by urban non - industrial            </w:t>
      </w:r>
      <w:r>
        <w:rPr>
          <w:rFonts w:hint="default" w:ascii="Times New Roman" w:hAnsi="Times New Roman" w:eastAsia="Times New Roman"/>
          <w:position w:val="26"/>
          <w:sz w:val="21"/>
        </w:rPr>
        <w:t xml:space="preserve">   generated through urban  </w:t>
      </w:r>
      <w:r>
        <w:rPr>
          <w:rFonts w:hint="default" w:ascii="Times New Roman" w:hAnsi="Times New Roman" w:eastAsia="Times New Roman"/>
          <w:sz w:val="21"/>
        </w:rPr>
        <w:t xml:space="preserve">          </w:t>
      </w:r>
      <w:r>
        <w:rPr>
          <w:rFonts w:hint="default" w:ascii="Times New Roman" w:hAnsi="Times New Roman" w:eastAsia="Times New Roman"/>
          <w:position w:val="26"/>
          <w:sz w:val="21"/>
        </w:rPr>
        <w:t xml:space="preserve"> non - agricultural  </w:t>
      </w:r>
      <w:r>
        <w:rPr>
          <w:rFonts w:hint="default" w:ascii="Times New Roman" w:hAnsi="Times New Roman" w:eastAsia="Times New Roman"/>
          <w:sz w:val="21"/>
        </w:rPr>
        <w:t xml:space="preserve">        </w:t>
      </w:r>
    </w:p>
    <w:p>
      <w:pPr>
        <w:pStyle w:val="5"/>
        <w:spacing w:beforeLines="0" w:afterLines="0"/>
        <w:rPr>
          <w:rFonts w:hint="default" w:ascii="Times New Roman" w:hAnsi="Times New Roman" w:eastAsia="Times New Roman"/>
          <w:position w:val="26"/>
          <w:sz w:val="21"/>
        </w:rPr>
      </w:pPr>
      <w:r>
        <w:rPr>
          <w:rFonts w:hint="default" w:ascii="Times New Roman" w:hAnsi="Times New Roman" w:eastAsia="Times New Roman"/>
          <w:sz w:val="21"/>
        </w:rPr>
        <w:t xml:space="preserve">                   waster water                        </w:t>
      </w:r>
      <w:r>
        <w:rPr>
          <w:rFonts w:hint="default" w:ascii="Times New Roman" w:hAnsi="Times New Roman" w:eastAsia="Times New Roman"/>
          <w:position w:val="26"/>
          <w:sz w:val="21"/>
        </w:rPr>
        <w:t>non -industrial waste water</w:t>
      </w:r>
      <w:r>
        <w:rPr>
          <w:rFonts w:hint="default" w:ascii="Times New Roman" w:hAnsi="Times New Roman" w:eastAsia="Times New Roman"/>
          <w:sz w:val="21"/>
        </w:rPr>
        <w:t xml:space="preserve">           </w:t>
      </w:r>
      <w:r>
        <w:rPr>
          <w:rFonts w:hint="default" w:ascii="Times New Roman" w:hAnsi="Times New Roman" w:eastAsia="Times New Roman"/>
          <w:position w:val="26"/>
          <w:sz w:val="21"/>
        </w:rPr>
        <w:t xml:space="preserve">     population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pacing w:val="2"/>
          <w:sz w:val="21"/>
        </w:rPr>
        <w:t xml:space="preserve">SO2 Emission </w:t>
      </w:r>
      <w:r>
        <w:rPr>
          <w:rFonts w:hint="default" w:ascii="Times New Roman" w:hAnsi="Times New Roman" w:eastAsia="Times New Roman"/>
          <w:sz w:val="21"/>
        </w:rPr>
        <w:t xml:space="preserve"> is calculated on the basis of consumption of coal by households and industrial activities.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pacing w:val="2"/>
          <w:sz w:val="21"/>
        </w:rPr>
        <w:t>SO2 Emission through Industrial Activities </w:t>
      </w:r>
      <w:r>
        <w:rPr>
          <w:rFonts w:hint="default" w:ascii="Times New Roman" w:hAnsi="Times New Roman" w:eastAsia="Times New Roman"/>
          <w:sz w:val="21"/>
        </w:rPr>
        <w:t xml:space="preserve">refers to volume of sulphur dioxide emission from fuel burning and production process by enterprises during a given period of time. In industry, SO2 mainly comes from the combustion of fossil fuels (coal, oil, etc.), as well as the industrial exhaust emissions from the smelting of sulphur-bearing ores or the production of sulphuric acid and phosphate fertilizers. It is calculated as : </w:t>
      </w:r>
    </w:p>
    <w:p>
      <w:pPr>
        <w:pStyle w:val="5"/>
        <w:spacing w:beforeLines="0" w:afterLines="0"/>
        <w:rPr>
          <w:rFonts w:hint="default" w:ascii="Times New Roman" w:hAnsi="Times New Roman" w:eastAsia="Times New Roman"/>
          <w:position w:val="-18"/>
          <w:sz w:val="21"/>
        </w:rPr>
      </w:pPr>
      <w:r>
        <w:rPr>
          <w:rFonts w:hint="default" w:ascii="Times New Roman" w:hAnsi="Times New Roman" w:eastAsia="Times New Roman"/>
          <w:sz w:val="21"/>
        </w:rPr>
        <w:t xml:space="preserve">            SO</w:t>
      </w:r>
      <w:r>
        <w:rPr>
          <w:rFonts w:hint="default" w:ascii="Times New Roman" w:hAnsi="Times New Roman" w:eastAsia="Times New Roman"/>
          <w:sz w:val="21"/>
          <w:vertAlign w:val="subscript"/>
        </w:rPr>
        <w:t>2</w:t>
      </w:r>
      <w:r>
        <w:rPr>
          <w:rFonts w:hint="default" w:ascii="Times New Roman" w:hAnsi="Times New Roman" w:eastAsia="Times New Roman"/>
          <w:sz w:val="21"/>
        </w:rPr>
        <w:t xml:space="preserve"> emission          </w:t>
      </w:r>
      <w:r>
        <w:rPr>
          <w:rFonts w:hint="default" w:ascii="Times New Roman" w:hAnsi="Times New Roman" w:eastAsia="Times New Roman"/>
          <w:position w:val="-18"/>
          <w:sz w:val="21"/>
        </w:rPr>
        <w:t>SO</w:t>
      </w:r>
      <w:r>
        <w:rPr>
          <w:rFonts w:hint="default" w:ascii="Times New Roman" w:hAnsi="Times New Roman" w:eastAsia="Times New Roman"/>
          <w:position w:val="-18"/>
          <w:sz w:val="21"/>
          <w:vertAlign w:val="subscript"/>
        </w:rPr>
        <w:t>2</w:t>
      </w:r>
      <w:r>
        <w:rPr>
          <w:rFonts w:hint="default" w:ascii="Times New Roman" w:hAnsi="Times New Roman" w:eastAsia="Times New Roman"/>
          <w:position w:val="-18"/>
          <w:sz w:val="21"/>
        </w:rPr>
        <w:t xml:space="preserve"> emission from </w:t>
      </w:r>
      <w:r>
        <w:rPr>
          <w:rFonts w:hint="default" w:ascii="Times New Roman" w:hAnsi="Times New Roman" w:eastAsia="Times New Roman"/>
          <w:sz w:val="21"/>
        </w:rPr>
        <w:t xml:space="preserve">        </w:t>
      </w:r>
      <w:r>
        <w:rPr>
          <w:rFonts w:hint="default" w:ascii="Times New Roman" w:hAnsi="Times New Roman" w:eastAsia="Times New Roman"/>
          <w:position w:val="-18"/>
          <w:sz w:val="21"/>
        </w:rPr>
        <w:t xml:space="preserve"> SO</w:t>
      </w:r>
      <w:r>
        <w:rPr>
          <w:rFonts w:hint="default" w:ascii="Times New Roman" w:hAnsi="Times New Roman" w:eastAsia="Times New Roman"/>
          <w:position w:val="-18"/>
          <w:sz w:val="21"/>
          <w:vertAlign w:val="subscript"/>
        </w:rPr>
        <w:t>2</w:t>
      </w:r>
      <w:r>
        <w:rPr>
          <w:rFonts w:hint="default" w:ascii="Times New Roman" w:hAnsi="Times New Roman" w:eastAsia="Times New Roman"/>
          <w:position w:val="-18"/>
          <w:sz w:val="21"/>
        </w:rPr>
        <w:t xml:space="preserve"> emission from</w:t>
      </w:r>
    </w:p>
    <w:p>
      <w:pPr>
        <w:pStyle w:val="5"/>
        <w:spacing w:beforeLines="0" w:afterLines="0"/>
        <w:rPr>
          <w:rFonts w:hint="default" w:ascii="Times New Roman" w:hAnsi="Times New Roman" w:eastAsia="Times New Roman"/>
          <w:position w:val="-18"/>
          <w:sz w:val="21"/>
        </w:rPr>
      </w:pPr>
      <w:r>
        <w:rPr>
          <w:rFonts w:hint="default" w:ascii="Times New Roman" w:hAnsi="Times New Roman" w:eastAsia="Times New Roman"/>
          <w:sz w:val="21"/>
        </w:rPr>
        <w:t xml:space="preserve">through industrial  =   </w:t>
      </w:r>
      <w:r>
        <w:rPr>
          <w:rFonts w:hint="default" w:ascii="Times New Roman" w:hAnsi="Times New Roman" w:eastAsia="Times New Roman"/>
          <w:position w:val="-18"/>
          <w:sz w:val="21"/>
        </w:rPr>
        <w:t xml:space="preserve">      fuel burning      </w:t>
      </w:r>
      <w:r>
        <w:rPr>
          <w:rFonts w:hint="default" w:ascii="Times New Roman" w:hAnsi="Times New Roman" w:eastAsia="Times New Roman"/>
          <w:sz w:val="21"/>
        </w:rPr>
        <w:t xml:space="preserve">   +  </w:t>
      </w:r>
      <w:r>
        <w:rPr>
          <w:rFonts w:hint="default" w:ascii="Times New Roman" w:hAnsi="Times New Roman" w:eastAsia="Times New Roman"/>
          <w:position w:val="-18"/>
          <w:sz w:val="21"/>
        </w:rPr>
        <w:t xml:space="preserve">  production process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activities    </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Number of industrial waste water treatment facilities </w:t>
      </w:r>
      <w:r>
        <w:rPr>
          <w:rFonts w:hint="default" w:ascii="Times New Roman" w:hAnsi="Times New Roman" w:eastAsia="Times New Roman"/>
          <w:spacing w:val="2"/>
          <w:sz w:val="21"/>
        </w:rPr>
        <w:t>refers to the number of actual facilities (including structures) used by enterprises to prevent and control water pollution and comprehensively utilize water resources after treatment during the reporting period, which is counted by a waste water treatment system. Water treatment equipment and supporting equipment attached to the facilities are not calculated separately. Facilities that have been scrapped are not counted.</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The capacity of industrial waste water treatment facilities </w:t>
      </w:r>
      <w:r>
        <w:rPr>
          <w:rFonts w:hint="default" w:ascii="Times New Roman" w:hAnsi="Times New Roman" w:eastAsia="Times New Roman"/>
          <w:spacing w:val="2"/>
          <w:sz w:val="21"/>
        </w:rPr>
        <w:t>refers to the actual capacity of waste water treatment facilities of the enterprises during the reporting period.</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Industrial waste water treatment capacity </w:t>
      </w:r>
      <w:r>
        <w:rPr>
          <w:rFonts w:hint="default" w:ascii="Times New Roman" w:hAnsi="Times New Roman" w:eastAsia="Times New Roman"/>
          <w:spacing w:val="2"/>
          <w:sz w:val="21"/>
        </w:rPr>
        <w:t>refers to the actual amount of industrial waste water treated by various water treatment facilities (including urban sewage treatment plants and industrial waste water treatment plants), including the amount of industrial waste water discharged after treatment and reused after treatment.The amount of waste water treated but not up to national or local discharge standards should also be taken into account. When calculating, it should not double calculation of industrial waste water treatment volume if the workshop and the factory discharge outlet have treatment facilities, and the same waste water classification treatment.</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Waste Water Discharged by Industry </w:t>
      </w:r>
      <w:r>
        <w:rPr>
          <w:rFonts w:hint="default" w:ascii="Times New Roman" w:hAnsi="Times New Roman" w:eastAsia="Times New Roman"/>
          <w:spacing w:val="2"/>
          <w:sz w:val="21"/>
        </w:rPr>
        <w:t xml:space="preserve">refers to the volume of waste water discharged by industrial enterprises through all their outlets, including waste water from production process, directly cooled water, waste water from waste gas treatment facilities, groundwater from mining wells which does not meet discharge standards and sewage from households mixed with waste water produced by industrial activities, but excluding indirectly cooled water discharged (It should be included if the discharge is not separated from waste water). </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Number of industrial waste gas treatment facilities </w:t>
      </w:r>
      <w:r>
        <w:rPr>
          <w:rFonts w:hint="default" w:ascii="Times New Roman" w:hAnsi="Times New Roman" w:eastAsia="Times New Roman"/>
          <w:spacing w:val="2"/>
          <w:sz w:val="21"/>
        </w:rPr>
        <w:t>refers to the total amount of waste gas treatment facilities used by enterprises at the end of the reporting period to reduce the pollutants discharged into the atmosphere or to recycle and utilize the pollutants in the process of fuel combustion and production process. Including dust removal, desulphurization, denitration and other pollutant smoke treatment facilities. Abandoned facilities are not counted. The dust removal device in the boiler belongs to the "three simultaneous" equipment, which should be included in the statistics.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The capacity of industrial waste gas treatment facilities </w:t>
      </w:r>
      <w:r>
        <w:rPr>
          <w:rFonts w:hint="default" w:ascii="Times New Roman" w:hAnsi="Times New Roman" w:eastAsia="Times New Roman"/>
          <w:spacing w:val="2"/>
          <w:sz w:val="21"/>
        </w:rPr>
        <w:t>refers to the actual capacity of waste gas treatment facilities of the enterprises at the end of the reporting period.</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Industrial Waste Air Emission </w:t>
      </w:r>
      <w:r>
        <w:rPr>
          <w:rFonts w:hint="default" w:ascii="Times New Roman" w:hAnsi="Times New Roman" w:eastAsia="Times New Roman"/>
          <w:spacing w:val="2"/>
          <w:sz w:val="21"/>
        </w:rPr>
        <w:t>refers to the discharge into atmosphere of waste air containing pollutants generated from fuel burning and production processes in enterprises within a given period of time. It is calculated at standard status (273K, 101325Pa) as.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Common Industrial Solid Wastes Produced </w:t>
      </w:r>
      <w:r>
        <w:rPr>
          <w:rFonts w:hint="default" w:ascii="Times New Roman" w:hAnsi="Times New Roman" w:eastAsia="Times New Roman"/>
          <w:spacing w:val="2"/>
          <w:sz w:val="21"/>
        </w:rPr>
        <w:t>refers to the industrial solid wastes that are not listed in the</w:t>
      </w:r>
      <w:r>
        <w:rPr>
          <w:rFonts w:hint="eastAsia" w:ascii="宋体" w:hAnsi="宋体" w:eastAsia="宋体"/>
          <w:spacing w:val="2"/>
          <w:sz w:val="21"/>
        </w:rPr>
        <w:t>《</w:t>
      </w:r>
      <w:r>
        <w:rPr>
          <w:rFonts w:hint="default" w:ascii="Times New Roman" w:hAnsi="Times New Roman" w:eastAsia="Times New Roman"/>
          <w:spacing w:val="2"/>
          <w:sz w:val="21"/>
        </w:rPr>
        <w:t xml:space="preserve"> National Catalogue of Hazardous Waste </w:t>
      </w:r>
      <w:r>
        <w:rPr>
          <w:rFonts w:hint="eastAsia" w:ascii="宋体" w:hAnsi="宋体" w:eastAsia="宋体"/>
          <w:spacing w:val="2"/>
          <w:sz w:val="21"/>
        </w:rPr>
        <w:t>》</w:t>
      </w:r>
      <w:r>
        <w:rPr>
          <w:rFonts w:hint="default" w:ascii="Times New Roman" w:hAnsi="Times New Roman" w:eastAsia="Times New Roman"/>
          <w:spacing w:val="2"/>
          <w:sz w:val="21"/>
        </w:rPr>
        <w:t>, or not regarded as hazardous according to the national hazardous waste identification standards (GB5085), solid waste-Extraction procedure for leaching toxicity (GB5086) and solid waste-Extraction procedure for leaching toxicity (GB/T 15555). The calculation formula is as followed:</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spacing w:val="2"/>
          <w:sz w:val="21"/>
        </w:rPr>
        <w:t>Common Industrial Solid Wastes Produced = (common industrial solid wastes utilized – the proportion of utilized stock of previous years) + common industrial solid waste stock + (common industrial solid wastes disposed – the proportion of disposed stock of previous years) + common industrial solid wastes discharged.</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Common Industrial Solid Wastes Comprehensively Utilized </w:t>
      </w:r>
      <w:r>
        <w:rPr>
          <w:rFonts w:hint="default" w:ascii="Times New Roman" w:hAnsi="Times New Roman" w:eastAsia="Times New Roman"/>
          <w:spacing w:val="2"/>
          <w:sz w:val="21"/>
        </w:rPr>
        <w:t xml:space="preserve">refers to volume of solid wastes from which useful materials can be extracted or which can be converted into usable resources, energy or other materials by means of reclamation, processing, recycling and exchange (including utilizing in the year the stocks of industrial solid wastes of the previous year). Examples of such utilizations include fertilizers, building materials and road materials. The information shall be collected by the producing units of the wastes.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pacing w:val="2"/>
          <w:sz w:val="21"/>
        </w:rPr>
        <w:t>Ratio of Utilization of Common Industrial Solid Wastes </w:t>
      </w:r>
      <w:r>
        <w:rPr>
          <w:rFonts w:hint="default" w:ascii="Times New Roman" w:hAnsi="Times New Roman" w:eastAsia="Times New Roman"/>
          <w:spacing w:val="2"/>
          <w:sz w:val="21"/>
        </w:rPr>
        <w:t xml:space="preserve">refers to the percentage of industrial solid wastes utilized over industrial solid wastes produced (including stocks of the previous years). It is calculated as: </w:t>
      </w:r>
    </w:p>
    <w:p>
      <w:pPr>
        <w:pStyle w:val="5"/>
        <w:spacing w:beforeLines="0" w:afterLines="0"/>
        <w:rPr>
          <w:rFonts w:hint="default" w:ascii="Times New Roman" w:hAnsi="Times New Roman" w:eastAsia="Times New Roman"/>
          <w:position w:val="-16"/>
          <w:sz w:val="21"/>
        </w:rPr>
      </w:pPr>
      <w:r>
        <w:rPr>
          <w:rFonts w:hint="default" w:ascii="Times New Roman" w:hAnsi="Times New Roman" w:eastAsia="Times New Roman"/>
          <w:sz w:val="21"/>
        </w:rPr>
        <w:t xml:space="preserve">                  Rate of utilization of       </w:t>
      </w:r>
      <w:r>
        <w:rPr>
          <w:rFonts w:hint="default" w:ascii="Times New Roman" w:hAnsi="Times New Roman" w:eastAsia="Times New Roman"/>
          <w:position w:val="-16"/>
          <w:sz w:val="21"/>
        </w:rPr>
        <w:t xml:space="preserve">  =  </w:t>
      </w:r>
      <w:r>
        <w:rPr>
          <w:rFonts w:hint="default" w:ascii="Times New Roman" w:hAnsi="Times New Roman" w:eastAsia="Times New Roman"/>
          <w:sz w:val="21"/>
        </w:rPr>
        <w:t xml:space="preserve">         volume of common industrialsolid wastes utilized      </w:t>
      </w:r>
      <w:r>
        <w:rPr>
          <w:rFonts w:hint="default" w:ascii="Times New Roman" w:hAnsi="Times New Roman" w:eastAsia="Times New Roman"/>
          <w:position w:val="-16"/>
          <w:sz w:val="21"/>
        </w:rPr>
        <w:t xml:space="preserve">   × 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common  industrial solid wastes        industrial solid wastes produced + stock of previous years            </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Stock of Common Industrial Solid Wastes </w:t>
      </w:r>
      <w:r>
        <w:rPr>
          <w:rFonts w:hint="default" w:ascii="Times New Roman" w:hAnsi="Times New Roman" w:eastAsia="Times New Roman"/>
          <w:spacing w:val="2"/>
          <w:sz w:val="21"/>
        </w:rPr>
        <w:t xml:space="preserve">refers to the volume of solid wastes placed in special facilities or special sites for purposes of utilization or disposal. The sites or facilities should take measures against dispersion, loss, seepage, and air and water contamination. </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Common Industrial Solid Wastes Disposed </w:t>
      </w:r>
      <w:r>
        <w:rPr>
          <w:rFonts w:hint="default" w:ascii="Times New Roman" w:hAnsi="Times New Roman" w:eastAsia="Times New Roman"/>
          <w:spacing w:val="2"/>
          <w:sz w:val="21"/>
        </w:rPr>
        <w:t xml:space="preserve">refers to the quantity of industrial solid wastes which are burnt or placed ultimately in the sites meeting the requirements for environmental protection and not salvaged or recycled (including disposition in the year of those wastes of previous years). The disposition includes landfill (Safe landfills should be conducted for hazardous wastes), incineration, containment spaces, deep underground disposal, backfill in mining pits and disposal at sea. </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Stock of Common Industrial Solid Wastes </w:t>
      </w:r>
      <w:r>
        <w:rPr>
          <w:rFonts w:hint="default" w:ascii="Times New Roman" w:hAnsi="Times New Roman" w:eastAsia="Times New Roman"/>
          <w:spacing w:val="2"/>
          <w:sz w:val="21"/>
        </w:rPr>
        <w:t>refers to the volume of solid wastes placed in special facilities or special sites by enterprises for purposes of utilization or disposal during the report period. The sites or facilities should take measures against dispersion, loss, seepage, and air and water contamination.</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Common Industrial Solid Wastes Discharged </w:t>
      </w:r>
      <w:r>
        <w:rPr>
          <w:rFonts w:hint="default" w:ascii="Times New Roman" w:hAnsi="Times New Roman" w:eastAsia="Times New Roman"/>
          <w:spacing w:val="2"/>
          <w:sz w:val="21"/>
        </w:rPr>
        <w:t>refers to the volume of industrial solid wastes dumped or discharged by producing enterprises to disposal facilities or to other sites.</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Urban Sewage Discharge </w:t>
      </w:r>
      <w:r>
        <w:rPr>
          <w:rFonts w:hint="default" w:ascii="Times New Roman" w:hAnsi="Times New Roman" w:eastAsia="Times New Roman"/>
          <w:spacing w:val="2"/>
          <w:sz w:val="21"/>
        </w:rPr>
        <w:t xml:space="preserve">refers to volume of the domestic sewage and industrial sewage, which includes the sewage discharged from the drainage pipe and drainage channel(ditch). </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Capacity of urban sewage treatment </w:t>
      </w:r>
      <w:r>
        <w:rPr>
          <w:rFonts w:hint="default" w:ascii="Times New Roman" w:hAnsi="Times New Roman" w:eastAsia="Times New Roman"/>
          <w:spacing w:val="2"/>
          <w:sz w:val="21"/>
        </w:rPr>
        <w:t>refers to the amount of sewage actually treated by urban sewage treatment plants and treatment plants. Including physical capacity, biological capacity and chemical capacity.</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pacing w:val="2"/>
          <w:sz w:val="21"/>
        </w:rPr>
        <w:t>Centralized Treatment Rate of sewage treatment plant </w:t>
      </w:r>
      <w:r>
        <w:rPr>
          <w:rFonts w:hint="default" w:ascii="Times New Roman" w:hAnsi="Times New Roman" w:eastAsia="Times New Roman"/>
          <w:spacing w:val="2"/>
          <w:sz w:val="21"/>
        </w:rPr>
        <w:t xml:space="preserve">refers to the percentage of sewage volume disposed by the sewage treatment plants over the urban sewage discharge volume. It is calculated as: </w:t>
      </w:r>
    </w:p>
    <w:p>
      <w:r>
        <w:rPr>
          <w:rFonts w:hint="default" w:ascii="Times New Roman" w:hAnsi="Times New Roman" w:eastAsia="Times New Roman"/>
          <w:spacing w:val="2"/>
          <w:sz w:val="21"/>
        </w:rPr>
        <w:t>Centralized Treatment Rate of sewage treatment plant= sewage volume disposed by the sewage treatment plants ÷ urban sewage discharge volume×100%</w:t>
      </w:r>
    </w:p>
    <w:sectPr>
      <w:pgSz w:w="11906" w:h="16838"/>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dobe 宋体 Std L">
    <w:altName w:val="宋体"/>
    <w:panose1 w:val="00000000000000000000"/>
    <w:charset w:val="86"/>
    <w:family w:val="auto"/>
    <w:pitch w:val="default"/>
    <w:sig w:usb0="00000000" w:usb1="00000000" w:usb2="00000000" w:usb3="00000000" w:csb0="00040000" w:csb1="00000000"/>
  </w:font>
  <w:font w:name="方正大标宋_GBK">
    <w:altName w:val="宋体"/>
    <w:panose1 w:val="03000509000000000000"/>
    <w:charset w:val="86"/>
    <w:family w:val="auto"/>
    <w:pitch w:val="default"/>
    <w:sig w:usb0="00000000" w:usb1="00000000" w:usb2="00000000" w:usb3="00000000" w:csb0="00040000" w:csb1="00000000"/>
  </w:font>
  <w:font w:name="方正书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简体">
    <w:panose1 w:val="03000509000000000000"/>
    <w:charset w:val="86"/>
    <w:family w:val="auto"/>
    <w:pitch w:val="default"/>
    <w:sig w:usb0="00000001" w:usb1="080E0000" w:usb2="00000000" w:usb3="00000000" w:csb0="00040000" w:csb1="00000000"/>
  </w:font>
  <w:font w:name="方正黑体_GBK">
    <w:altName w:val="Arial Unicode MS"/>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hOTM0ZDQxOTVkYWRjN2ExMWRiYWRhZTQ2MmY2YzEifQ=="/>
  </w:docVars>
  <w:rsids>
    <w:rsidRoot w:val="00172A27"/>
    <w:rsid w:val="26EE5040"/>
    <w:rsid w:val="281E57C5"/>
    <w:rsid w:val="2B9E0B00"/>
    <w:rsid w:val="30F6671B"/>
    <w:rsid w:val="31087323"/>
    <w:rsid w:val="377B2F74"/>
    <w:rsid w:val="48FA4163"/>
    <w:rsid w:val="4B5303AB"/>
    <w:rsid w:val="545D14A3"/>
    <w:rsid w:val="61666E4D"/>
    <w:rsid w:val="6CDF233B"/>
    <w:rsid w:val="7D533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 w:type="paragraph" w:customStyle="1" w:styleId="5">
    <w:name w:val="[基本段落]"/>
    <w:basedOn w:val="4"/>
    <w:unhideWhenUsed/>
    <w:uiPriority w:val="99"/>
    <w:pPr>
      <w:spacing w:beforeLines="0" w:afterLines="0"/>
    </w:pPr>
    <w:rPr>
      <w:rFonts w:hint="eastAsia"/>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云南省人民政府</Company>
  <Pages>15</Pages>
  <Words>7252</Words>
  <Characters>19980</Characters>
  <Lines>0</Lines>
  <Paragraphs>0</Paragraphs>
  <TotalTime>7</TotalTime>
  <ScaleCrop>false</ScaleCrop>
  <LinksUpToDate>false</LinksUpToDate>
  <CharactersWithSpaces>23446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2022-08-01T07:47:00Z</dcterms:created>
  <dc:creator>gd</dc:creator>
  <cp:lastModifiedBy>baoyh</cp:lastModifiedBy>
  <cp:lastPrinted>2022-09-06T09:31:03Z</cp:lastPrinted>
  <dcterms:modified xsi:type="dcterms:W3CDTF">2022-09-06T09:38:23Z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5BD46FB3E7EA4905BEA1D6AB02E02A36</vt:lpwstr>
  </property>
</Properties>
</file>