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48C54">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2C8B726C">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国内（地区）生产总值 指按市场价格计算的一个国家（或地区）所有常住单位在一定时期内生产活动的最终成果。国内（地区）生产总值有三种计算方法，即生产法、收入法和支出法。三种方法分别从不同的方面反映国内生产总值及其构成。</w:t>
      </w:r>
    </w:p>
    <w:p w14:paraId="44736DA6">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生产法 是从生产的角度衡量常住单位在核算期内新创造价值的一种计算方法。即从生产的全部货物和服务总产品的价值中，扣除生产过程中投入的中间产品的价值，得到增加值。全社会所有常住单位增加值的总和就是生产总值。计算公式为：</w:t>
      </w:r>
    </w:p>
    <w:p w14:paraId="77064EE2">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增加值=总产出-中间投入</w:t>
      </w:r>
    </w:p>
    <w:p w14:paraId="5C3937B9">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国（地区）外净要素收入 是指本国（或本地区）居民对国（或本地区）外从事投资和提供劳务所得的要素收入，与外国（或本地区）居民对本国（或本地区）从事投资和提供劳务所得的要素收入的差额。</w:t>
      </w:r>
    </w:p>
    <w:p w14:paraId="366243D7">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三次产业 三次产业的划分是世界上较为常用的产业结构分类，但各国的划分不尽一致。中国的三次产业划分是：</w:t>
      </w:r>
    </w:p>
    <w:p w14:paraId="2B597510">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第一产业：是指农（种植）、林、牧、渔业（不含农、林、牧、渔服务业）。</w:t>
      </w:r>
    </w:p>
    <w:p w14:paraId="194B4F38">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第二产业：是指采矿业（不含开采辅助活动），制造业（不含金属制品、机械和设备修理业），电力、热力、燃气及水生产和供应业，建筑业。</w:t>
      </w:r>
    </w:p>
    <w:p w14:paraId="5B63DBD4">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第三产业即服务业，是指除第一产业、第二产业以外的其他行业。第三产业包括：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公共管理、社会保障和社会组织，国际组织，以及农、林、牧、渔业中的农、林、牧、渔服务业，采矿业中的开采辅助活动，制造业中的金属制品、机械和设备修理业。</w:t>
      </w:r>
    </w:p>
    <w:p w14:paraId="211E7DBE">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支出法国内（地区）生产总值 是从最终使用的角度反映一个国家或地区一定时期内生产活动最终成果的一种方法，包括最终消费支出、资本形成总额及货物和服务净出口三部分。计算公式为：</w:t>
      </w:r>
    </w:p>
    <w:p w14:paraId="4948F405">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支出法地区生产总值=最终消费支出+资本形成总额+货物和服务净出口</w:t>
      </w:r>
    </w:p>
    <w:p w14:paraId="39F1B770">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最终消费支出 指常住单位为满足物质、文化和精神生活的需要，从本国经济领土和国外购买的货物和服务的支出。它不包括非常住单位在本国经济领土内的消费支出。最终消费支出分为居民消费支出和政府消费支出。</w:t>
      </w:r>
    </w:p>
    <w:p w14:paraId="12655237">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居民消费支出 指常住住户在一定时期内对于货物和服务的全部最终消费支出。居民消费支出除了直接以货币形式购买的货物和服务的消费支出外，还包括以其他方式获得的货物和服务的消费支出，即所谓的虚拟消费支出。居民虚拟消费支出包括如下几种类型：单位以实物报酬及实物转移的形式提供给劳动者的货物和服务；住户生产并由本住户消费了的货物和服务，其中的服务仅指住户的自有住房服务和付酬的家庭雇员提供的家庭和个人服务；金融机构提供的金融媒介服务。</w:t>
      </w:r>
    </w:p>
    <w:p w14:paraId="63381A73">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政府消费支出 指政府部门为全社会提供的公共服务的消费支出和免费或以较低的价格向居民住户提供的货物和服务的净支出，前者等于政府服务的产出价值减去政府单位所获得的经营收入的价值，后者等于政府部门免费或以较低价格向居民住户提供的货物和服务的市场价值减去向住户收取的价值。</w:t>
      </w:r>
    </w:p>
    <w:p w14:paraId="568A2929">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资本形成总额 指常住单位在一定时期内获得减去处置的固定资产和存货的净额，包括固定资本形成总额和存货增加两部分。</w:t>
      </w:r>
    </w:p>
    <w:p w14:paraId="6E88C139">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固定资本形成总额 指常住单位在一定时期内获得的固定资产减处置的固定资产的价值总额。固定资产是通过生产活动生产出来的，且其使用年限在一年以上、单位价值在规定标准以上的资产，不包括自然资产,耐用消费品、小型工器具。固定资本形成总额按购买者价格计算，并在所有权发生变化时记录。核算内容主要包括住宅，非住宅建筑物，机器和设备（包括武器系统），知识产权产品中的研发支出、计算机软件、矿藏勘探费、文学艺术品原件，新增役、种、奶、毛及娱乐用牲畜和新增经济林木价值等培育资产，住宅产权和非生产资产所有权转移费用等。</w:t>
      </w:r>
    </w:p>
    <w:p w14:paraId="760F2A8E">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存货变动 指常住单位在一定时期内存货实物量变动的市场价值，即期末价值减期初价值的差额，再扣除当期由于价格变动而产生的持有收益。存货增加可以是正值，也可以是负值，正值表示存货上升，负值表示存货下降。存货包括生产单位购进的原材料、燃料和储备物资等存货，以及生产单位生产的产成品、在制品和半成品等存货。</w:t>
      </w:r>
    </w:p>
    <w:p w14:paraId="54DA52D9">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货物和服务净出口 指货物和服务出口减货物和服务进口的差额。出口包括常住单位向非常住单位出售或无偿转让的各种货物和服务的价值；进口包括常住单位从非常住单位购买或无偿得到的各种货物和服务的价值。由于服务活动的提供与使用同时发生，一般把常住单位从非常住单位得到的服务作为进口，非常住单位从常住单位得到的服务作为出口。货物的出口和进口都按离岸价格计算。</w:t>
      </w:r>
    </w:p>
    <w:p w14:paraId="4C6F6D68">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 xml:space="preserve"> </w:t>
      </w:r>
    </w:p>
    <w:p w14:paraId="2F149EC9">
      <w:pPr>
        <w:pStyle w:val="5"/>
        <w:spacing w:beforeLines="0" w:afterLines="0"/>
        <w:rPr>
          <w:rFonts w:hint="eastAsia" w:ascii="方正书宋_GBK" w:hAnsi="方正书宋_GBK" w:eastAsia="方正书宋_GBK"/>
          <w:sz w:val="21"/>
        </w:rPr>
      </w:pPr>
    </w:p>
    <w:p w14:paraId="0516F069">
      <w:pPr>
        <w:pStyle w:val="5"/>
        <w:spacing w:beforeLines="0" w:afterLines="0"/>
        <w:rPr>
          <w:rFonts w:hint="eastAsia" w:ascii="方正书宋_GBK" w:hAnsi="方正书宋_GBK" w:eastAsia="方正书宋_GBK"/>
          <w:sz w:val="21"/>
        </w:rPr>
      </w:pPr>
    </w:p>
    <w:p w14:paraId="51EE535C">
      <w:pPr>
        <w:pStyle w:val="5"/>
        <w:spacing w:beforeLines="0" w:afterLines="0"/>
        <w:rPr>
          <w:rFonts w:hint="eastAsia" w:ascii="方正书宋_GBK" w:hAnsi="方正书宋_GBK" w:eastAsia="方正书宋_GBK"/>
          <w:sz w:val="21"/>
        </w:rPr>
      </w:pPr>
    </w:p>
    <w:p w14:paraId="5D3B9929">
      <w:pPr>
        <w:pStyle w:val="5"/>
        <w:spacing w:beforeLines="0" w:afterLines="0"/>
        <w:rPr>
          <w:rFonts w:hint="eastAsia" w:ascii="方正书宋_GBK" w:hAnsi="方正书宋_GBK" w:eastAsia="方正书宋_GBK"/>
          <w:sz w:val="21"/>
        </w:rPr>
      </w:pPr>
    </w:p>
    <w:p w14:paraId="04AB1F41">
      <w:pPr>
        <w:pStyle w:val="5"/>
        <w:spacing w:beforeLines="0" w:afterLines="0"/>
        <w:rPr>
          <w:rFonts w:hint="eastAsia" w:ascii="方正书宋_GBK" w:hAnsi="方正书宋_GBK" w:eastAsia="方正书宋_GBK"/>
          <w:sz w:val="21"/>
        </w:rPr>
      </w:pPr>
    </w:p>
    <w:p w14:paraId="68C6E430">
      <w:pPr>
        <w:pStyle w:val="5"/>
        <w:spacing w:beforeLines="0" w:afterLines="0"/>
        <w:rPr>
          <w:rFonts w:hint="eastAsia" w:ascii="方正书宋_GBK" w:hAnsi="方正书宋_GBK" w:eastAsia="方正书宋_GBK"/>
          <w:sz w:val="21"/>
        </w:rPr>
      </w:pPr>
    </w:p>
    <w:p w14:paraId="2FC0CB29">
      <w:pPr>
        <w:pStyle w:val="5"/>
        <w:spacing w:beforeLines="0" w:afterLines="0"/>
        <w:rPr>
          <w:rFonts w:hint="eastAsia" w:ascii="方正书宋_GBK" w:hAnsi="方正书宋_GBK" w:eastAsia="方正书宋_GBK"/>
          <w:sz w:val="21"/>
        </w:rPr>
      </w:pPr>
    </w:p>
    <w:p w14:paraId="5930801B">
      <w:pPr>
        <w:spacing w:beforeLines="0" w:afterLines="0"/>
        <w:jc w:val="center"/>
        <w:rPr>
          <w:rFonts w:hint="default" w:ascii="Times New Roman" w:hAnsi="Times New Roman" w:eastAsia="Times New Roman"/>
          <w:b/>
          <w:sz w:val="36"/>
          <w:szCs w:val="24"/>
        </w:rPr>
      </w:pPr>
      <w:r>
        <w:rPr>
          <w:rFonts w:hint="default" w:ascii="Times New Roman" w:hAnsi="Times New Roman" w:eastAsia="Times New Roman"/>
          <w:b/>
          <w:sz w:val="36"/>
          <w:szCs w:val="24"/>
        </w:rPr>
        <w:t>Explanatory Notes on Main Statistical Indicators</w:t>
      </w:r>
    </w:p>
    <w:p w14:paraId="53DBB10B">
      <w:pPr>
        <w:pStyle w:val="5"/>
        <w:spacing w:beforeLines="0" w:afterLines="0"/>
        <w:rPr>
          <w:rFonts w:hint="default" w:ascii="Times New Roman" w:hAnsi="Times New Roman" w:eastAsia="Times New Roman"/>
          <w:spacing w:val="2"/>
          <w:sz w:val="21"/>
        </w:rPr>
      </w:pPr>
    </w:p>
    <w:p w14:paraId="4B615969">
      <w:pPr>
        <w:pStyle w:val="5"/>
        <w:spacing w:beforeLines="0" w:afterLines="0"/>
        <w:rPr>
          <w:rFonts w:hint="default" w:ascii="Times New Roman" w:hAnsi="Times New Roman" w:eastAsia="Times New Roman"/>
          <w:spacing w:val="2"/>
          <w:sz w:val="21"/>
        </w:rPr>
      </w:pPr>
      <w:bookmarkStart w:id="0" w:name="_GoBack"/>
      <w:bookmarkEnd w:id="0"/>
      <w:r>
        <w:rPr>
          <w:rFonts w:hint="default" w:ascii="Times New Roman" w:hAnsi="Times New Roman" w:eastAsia="Times New Roman"/>
          <w:spacing w:val="2"/>
          <w:sz w:val="21"/>
        </w:rPr>
        <w:t>Gross Domestic (Regional) Product refers to the final products at market prices produced by all resident units in a country (or a region) during a certain period of time. There are three methods reflect Gross Domestic Product and its composition from different aspects.</w:t>
      </w:r>
    </w:p>
    <w:p w14:paraId="506B1CF5">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Production Approach refers to the calculation method for measuring the newly increased value of resident units in the accounting period from the perspective of production, i.e. the value of total goods and services produced minus that of intermediate products input in the process of production is added value. The sum of added value created by all resident units makes GDP. The formula is as follows: Added Value = Total Output –Intermediate Input.</w:t>
      </w:r>
    </w:p>
    <w:p w14:paraId="7D99E228">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Net Factor Income from Abroad refers to the difference between factor income earned by residents of a country (or territory) from their investment and labor services in foreign countries (or territories) and that earned by residents of foreign countries (or territories) from their investment and labor services in that country (or territory).</w:t>
      </w:r>
    </w:p>
    <w:p w14:paraId="7F4D845D">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Three Industries Classification of economic activities into three industries is a common practice in the world,although the grouping varies to some extent form country to country. In China, economic activities are categorized as follows: Primary industry refers to farming, forestry, animal husbandry and fishery.Secondary industry refers to mining and quarrying, manufacturing, production and supply of electricity, water,fuel gas and construction.Tertiary industry refers to all other economic activities not included in primary or secondary industry,including services of farming, forestry, animal husbandry and fishery, communications and transportation, storage and postal services, information transmission, computer and software services wholesale and retail trade, hotel and food services, banking, real estate, lease and commercial services, scientific research and technical service,geological prospecting, management services of water conservancy, environment and public facilities, resident and other services, education, health care, social security and welfare, culture, sports and entertainment, public management and social organizations.</w:t>
      </w:r>
    </w:p>
    <w:p w14:paraId="2BABC27D">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Gross Domestic (Regional) Product Calculated by Expenditure Approach refers to the method of measuring the final results of production activities of a country or region during a given period from the perspective of final uses. It includes final consumption expenditure, gross capital formation and net export of goods and services. The formula for computation is.:</w:t>
      </w:r>
    </w:p>
    <w:p w14:paraId="384BB9D8">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Gross Regional Product by expenditure approach = final consumption expenditure + gross capital formation +net export of goods and services</w:t>
      </w:r>
    </w:p>
    <w:p w14:paraId="55288079">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Final Consumption Expenditure refers to the total expenditure of resident units for purchases of goods and services from both the domestic economic territory and abroad to meet the needs of material, cultural and spiritual life. It does not include the expenditure of non-resident units on consumption in the economic territory of the country. The final consumption expenditure is broken down into household consumption expenditure and government consumption expenditure.</w:t>
      </w:r>
    </w:p>
    <w:p w14:paraId="58091DE5">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Household Consumption Expenditure refers to the total expenditure of resident households on the final consumption of goods and services. In addition to the consumption of goods and services bought by the households directly with money, the household consumption expenditure also includes expenditure on goods and services obtained by the households in other ways, i.e. the so-called imputed consumption expenditure, which includes the following: a) the goods and services provided to households by employers in the form of payment in kind and transfer in kind; b) goods and services produced and consumed by the households themselves, in which the services refer to the owner-occupied housing and services offered by payed family employees; c) financial intermediate services provided by financial institution.</w:t>
      </w:r>
    </w:p>
    <w:p w14:paraId="296A6E1A">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Government Consumption Expenditure refers to the consumption expenditure spent for the provision of public services provided by the government to the whole country and the net expenditure on the goods and services provided by the government to households free of charge or at reduced prices. The former equals to the output value of the government services minus the value of operating income obtained by the government departments.The latter equals to the market value of the goods and services provided by the government free of charge or at reduced prices to the households minus the value received by the government from the households.</w:t>
      </w:r>
    </w:p>
    <w:p w14:paraId="67F1F6C4">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Gross Capital Formation refers to the fixed assets acquired less disposals and the net value of inventory, thus including gross fixed capital formation and changes in inventories.</w:t>
      </w:r>
    </w:p>
    <w:p w14:paraId="42E5FEF5">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Gross Fixed Capital Formation refers to the value of acquisitions less those disposals of fixed assets during a given period. Fixed assets are the assets produced through production activities with unit value above a specified amount and which could be used for over one year. Natural assets,consumer durables and small tools are not included.The gross fixed capital formation is calculated at the buyer's price and is recorded when ownership changes. Accounting content mainly includes residential and non-residential buildings, machinery and equipment (including weapons systems), spending on research and development of intellectual property products, computer software, mineral exploration, original works of art, literature, the value of draught animals, breeding stock and animals for milk, for wool and for recreational purposes and the newly increased forest with economic value, residential property and unproductive assets ownership transfer fees, etc.</w:t>
      </w:r>
    </w:p>
    <w:p w14:paraId="11D57638">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Changes in Inventories refers to the market value of the change in the physical volume of inventory of resident units during a given period, i.e. the difference between the values at the beginning and at the end of the period minus the gains due to the change in prices. The changes in inventories can have a positive or a negative value. A positive value indicates an increase in inventory while a negative value indicates a decrease in inventory.The inventory includes raw materials, fuels and reserve materials purchased by the production units as well as the inventory of finished products, semi-finished products and work-in-progress.</w:t>
      </w:r>
    </w:p>
    <w:p w14:paraId="06890F5A">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Net Export of Goods and Services refers to the exports of goods and services subtracting the imports of goods and services. Exports include the value of various goods and services sold or gratuitously transferred by resident units to non-resident units. Imports include the value of various goods and services purchased or gratuitously acquired resident units from non-resident units. Because the provision of services and the use of them happen simultaneously, the acquisition of services by resident units from abroad is usually treated as import while the acquisition of services by non-resident units in this country is usually treated as export. The exports and imports of goods are calculated at FOB.</w:t>
      </w:r>
    </w:p>
    <w:p w14:paraId="70F02741">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w:t>
      </w:r>
    </w:p>
    <w:p w14:paraId="7F9F9EBD"/>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F6C7773"/>
    <w:rsid w:val="281E57C5"/>
    <w:rsid w:val="2B9E0B00"/>
    <w:rsid w:val="30F6671B"/>
    <w:rsid w:val="31087323"/>
    <w:rsid w:val="377B2F74"/>
    <w:rsid w:val="3EAF78D5"/>
    <w:rsid w:val="48FA4163"/>
    <w:rsid w:val="4B5303AB"/>
    <w:rsid w:val="545D14A3"/>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6</Pages>
  <Words>2927</Words>
  <Characters>7997</Characters>
  <Lines>0</Lines>
  <Paragraphs>0</Paragraphs>
  <TotalTime>1</TotalTime>
  <ScaleCrop>false</ScaleCrop>
  <LinksUpToDate>false</LinksUpToDate>
  <CharactersWithSpaces>9067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2022-08-01T07:30:00Z</dcterms:created>
  <dc:creator>gd</dc:creator>
  <cp:lastModifiedBy>WPS_1581306097</cp:lastModifiedBy>
  <dcterms:modified xsi:type="dcterms:W3CDTF">2025-05-23T07:26:35Z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8BD3EE6E056A4316B3AA49B0BC303E4F_12</vt:lpwstr>
  </property>
</Properties>
</file>