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附件7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云南省按经济成分划分的地区生产总值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统计报表制度主要内容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一、调查目的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为全面反映云南省经济所有制构成的发展规模与水平，满足宏观决策和管理的需要。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二、调查内容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按经济成分划分的当年价格地区生产总值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按经济成分划分的不变价格地区生产总值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按经济成分划分的地区生产总值构成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季度地区民营经济增加值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三、调查对象及范围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企业法人、事业法人、机关法人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四、调查方法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全面调查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五、组织方式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本制度由云南省工业和信息化厅负责组织实施。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六、数据发布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按季度形成全省民营经济运行分析报告，资料主要使用单位包括云南省省委省政府及国民经济相关各部门。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549F3A60"/>
    <w:rsid w:val="00526E95"/>
    <w:rsid w:val="00D652F7"/>
    <w:rsid w:val="07BB7815"/>
    <w:rsid w:val="0BAF7C05"/>
    <w:rsid w:val="0BB24915"/>
    <w:rsid w:val="1D825D92"/>
    <w:rsid w:val="21017C5A"/>
    <w:rsid w:val="2DDC6AF7"/>
    <w:rsid w:val="305651BF"/>
    <w:rsid w:val="4FFD5D47"/>
    <w:rsid w:val="549F3A60"/>
    <w:rsid w:val="578A4AD5"/>
    <w:rsid w:val="5C457FE2"/>
    <w:rsid w:val="618D2191"/>
    <w:rsid w:val="6B5FB53C"/>
    <w:rsid w:val="6D9E28FB"/>
    <w:rsid w:val="70B93CD1"/>
    <w:rsid w:val="BFD71105"/>
    <w:rsid w:val="DF1DF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仿宋_GB2312" w:cs="Times New Roman"/>
      <w:sz w:val="32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Hyperlink"/>
    <w:basedOn w:val="5"/>
    <w:qFormat/>
    <w:uiPriority w:val="0"/>
    <w:rPr>
      <w:color w:val="0000FF"/>
      <w:u w:val="none"/>
    </w:rPr>
  </w:style>
  <w:style w:type="paragraph" w:customStyle="1" w:styleId="7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277</Words>
  <Characters>277</Characters>
  <Lines>0</Lines>
  <Paragraphs>0</Paragraphs>
  <TotalTime>14</TotalTime>
  <ScaleCrop>false</ScaleCrop>
  <LinksUpToDate>false</LinksUpToDate>
  <CharactersWithSpaces>277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2019-04-18T10:39:00Z</dcterms:created>
  <dc:creator>刘嵩</dc:creator>
  <cp:lastModifiedBy>王迪</cp:lastModifiedBy>
  <cp:lastPrinted>2022-03-31T09:20:00Z</cp:lastPrinted>
  <dcterms:modified xsi:type="dcterms:W3CDTF">2023-07-06T09:28:34Z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4BED876645A345E08CFA42DA1FCF683C_12</vt:lpwstr>
  </property>
</Properties>
</file>