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540"/>
        </w:tabs>
        <w:spacing w:line="640" w:lineRule="exact"/>
        <w:jc w:val="center"/>
        <w:outlineLvl w:val="0"/>
        <w:rPr>
          <w:rFonts w:hint="eastAsia" w:ascii="宋体" w:hAnsi="宋体" w:eastAsia="方正小标宋简体" w:cs="方正小标宋简体"/>
          <w:bCs/>
          <w:kern w:val="0"/>
          <w:sz w:val="44"/>
          <w:szCs w:val="44"/>
        </w:rPr>
      </w:pPr>
    </w:p>
    <w:p>
      <w:pPr>
        <w:widowControl/>
        <w:tabs>
          <w:tab w:val="left" w:pos="540"/>
        </w:tabs>
        <w:spacing w:line="640" w:lineRule="exact"/>
        <w:jc w:val="center"/>
        <w:outlineLvl w:val="0"/>
        <w:rPr>
          <w:rFonts w:ascii="宋体" w:hAnsi="宋体" w:eastAsia="方正小标宋简体" w:cs="方正小标宋简体"/>
          <w:bCs/>
          <w:sz w:val="44"/>
          <w:szCs w:val="44"/>
        </w:rPr>
      </w:pPr>
      <w:r>
        <w:rPr>
          <w:rFonts w:hint="eastAsia" w:ascii="宋体" w:hAnsi="宋体" w:eastAsia="方正小标宋简体" w:cs="方正小标宋简体"/>
          <w:bCs/>
          <w:kern w:val="0"/>
          <w:sz w:val="44"/>
          <w:szCs w:val="44"/>
        </w:rPr>
        <w:t>云南省招商引资统计报表制度主要内容</w:t>
      </w:r>
    </w:p>
    <w:p>
      <w:pPr>
        <w:widowControl/>
        <w:spacing w:line="560" w:lineRule="exact"/>
        <w:ind w:firstLine="602"/>
        <w:jc w:val="left"/>
        <w:rPr>
          <w:rFonts w:ascii="宋体" w:hAnsi="宋体" w:eastAsia="仿宋" w:cs="仿宋"/>
          <w:b/>
          <w:kern w:val="0"/>
          <w:sz w:val="32"/>
          <w:szCs w:val="32"/>
        </w:rPr>
      </w:pPr>
    </w:p>
    <w:p>
      <w:pPr>
        <w:widowControl/>
        <w:spacing w:line="560" w:lineRule="exact"/>
        <w:ind w:firstLine="602"/>
        <w:jc w:val="left"/>
        <w:outlineLvl w:val="0"/>
        <w:rPr>
          <w:rFonts w:ascii="宋体" w:hAnsi="宋体" w:eastAsia="黑体" w:cs="黑体"/>
          <w:bCs/>
          <w:color w:val="000000" w:themeColor="text1"/>
          <w:sz w:val="32"/>
          <w:szCs w:val="32"/>
          <w14:textFill>
            <w14:solidFill>
              <w14:schemeClr w14:val="tx1"/>
            </w14:solidFill>
          </w14:textFill>
        </w:rPr>
      </w:pPr>
      <w:r>
        <w:rPr>
          <w:rFonts w:hint="eastAsia" w:ascii="宋体" w:hAnsi="宋体" w:eastAsia="黑体" w:cs="黑体"/>
          <w:bCs/>
          <w:color w:val="000000" w:themeColor="text1"/>
          <w:kern w:val="0"/>
          <w:sz w:val="32"/>
          <w:szCs w:val="32"/>
          <w14:textFill>
            <w14:solidFill>
              <w14:schemeClr w14:val="tx1"/>
            </w14:solidFill>
          </w14:textFill>
        </w:rPr>
        <w:t>一、调查目的</w:t>
      </w:r>
    </w:p>
    <w:p>
      <w:pPr>
        <w:widowControl/>
        <w:spacing w:line="560" w:lineRule="exact"/>
        <w:jc w:val="left"/>
        <w:rPr>
          <w:rFonts w:ascii="宋体" w:hAnsi="宋体" w:eastAsia="方正仿宋_GBK" w:cs="方正仿宋_GBK"/>
          <w:b/>
          <w:bCs/>
          <w:color w:val="000000" w:themeColor="text1"/>
          <w:kern w:val="0"/>
          <w:sz w:val="32"/>
          <w:szCs w:val="32"/>
          <w14:textFill>
            <w14:solidFill>
              <w14:schemeClr w14:val="tx1"/>
            </w14:solidFill>
          </w14:textFill>
        </w:rPr>
      </w:pPr>
      <w:r>
        <w:rPr>
          <w:rFonts w:hint="eastAsia" w:ascii="宋体" w:hAnsi="宋体" w:eastAsia="仿宋" w:cs="仿宋"/>
          <w:color w:val="000000" w:themeColor="text1"/>
          <w:kern w:val="0"/>
          <w:sz w:val="32"/>
          <w:szCs w:val="32"/>
          <w14:textFill>
            <w14:solidFill>
              <w14:schemeClr w14:val="tx1"/>
            </w14:solidFill>
          </w14:textFill>
        </w:rPr>
        <w:t> </w:t>
      </w:r>
      <w:r>
        <w:rPr>
          <w:rFonts w:hint="eastAsia" w:ascii="宋体" w:hAnsi="宋体" w:eastAsia="仿宋_GB2312" w:cs="仿宋"/>
          <w:color w:val="000000" w:themeColor="text1"/>
          <w:kern w:val="0"/>
          <w:sz w:val="32"/>
          <w:szCs w:val="32"/>
          <w14:textFill>
            <w14:solidFill>
              <w14:schemeClr w14:val="tx1"/>
            </w14:solidFill>
          </w14:textFill>
        </w:rPr>
        <w:t> </w:t>
      </w:r>
      <w:r>
        <w:rPr>
          <w:rFonts w:hint="eastAsia" w:ascii="宋体" w:hAnsi="宋体" w:eastAsia="方正仿宋_GBK" w:cs="方正仿宋_GBK"/>
          <w:color w:val="000000" w:themeColor="text1"/>
          <w:kern w:val="0"/>
          <w:sz w:val="32"/>
          <w:szCs w:val="32"/>
          <w14:textFill>
            <w14:solidFill>
              <w14:schemeClr w14:val="tx1"/>
            </w14:solidFill>
          </w14:textFill>
        </w:rPr>
        <w:t>为全面、及时准确反映云南招商引资成果情况，为决策和工作提供参考依据，依照《中华人民共和国统计法》《中华人民共和国统计法实施条例》《云南省部门统计调查项目管理办法》，中央和省委、省政府关于防范和惩治统计造假、弄虚作假有关文件要求，特制定本报表制度。</w:t>
      </w:r>
    </w:p>
    <w:p>
      <w:pPr>
        <w:widowControl/>
        <w:spacing w:line="560" w:lineRule="exact"/>
        <w:ind w:firstLine="602"/>
        <w:jc w:val="left"/>
        <w:outlineLvl w:val="0"/>
        <w:rPr>
          <w:rFonts w:ascii="宋体" w:hAnsi="宋体" w:eastAsia="黑体" w:cs="黑体"/>
          <w:bCs/>
          <w:color w:val="000000" w:themeColor="text1"/>
          <w:kern w:val="0"/>
          <w:sz w:val="32"/>
          <w:szCs w:val="32"/>
          <w14:textFill>
            <w14:solidFill>
              <w14:schemeClr w14:val="tx1"/>
            </w14:solidFill>
          </w14:textFill>
        </w:rPr>
      </w:pPr>
      <w:r>
        <w:rPr>
          <w:rFonts w:hint="eastAsia" w:ascii="宋体" w:hAnsi="宋体" w:eastAsia="黑体" w:cs="黑体"/>
          <w:bCs/>
          <w:color w:val="000000" w:themeColor="text1"/>
          <w:kern w:val="0"/>
          <w:sz w:val="32"/>
          <w:szCs w:val="32"/>
          <w14:textFill>
            <w14:solidFill>
              <w14:schemeClr w14:val="tx1"/>
            </w14:solidFill>
          </w14:textFill>
        </w:rPr>
        <w:t>二、调查内容</w:t>
      </w:r>
    </w:p>
    <w:p>
      <w:pPr>
        <w:widowControl/>
        <w:spacing w:line="560" w:lineRule="exact"/>
        <w:ind w:firstLine="602"/>
        <w:jc w:val="left"/>
        <w:rPr>
          <w:rFonts w:ascii="宋体" w:hAnsi="宋体" w:eastAsia="方正仿宋_GBK" w:cs="方正仿宋_GBK"/>
          <w:color w:val="000000" w:themeColor="text1"/>
          <w:kern w:val="0"/>
          <w:sz w:val="32"/>
          <w:szCs w:val="32"/>
          <w14:textFill>
            <w14:solidFill>
              <w14:schemeClr w14:val="tx1"/>
            </w14:solidFill>
          </w14:textFill>
        </w:rPr>
      </w:pPr>
      <w:r>
        <w:rPr>
          <w:rFonts w:hint="eastAsia" w:ascii="宋体" w:hAnsi="宋体" w:eastAsia="方正仿宋_GBK" w:cs="方正仿宋_GBK"/>
          <w:color w:val="000000" w:themeColor="text1"/>
          <w:kern w:val="0"/>
          <w:sz w:val="32"/>
          <w:szCs w:val="32"/>
          <w14:textFill>
            <w14:solidFill>
              <w14:schemeClr w14:val="tx1"/>
            </w14:solidFill>
          </w14:textFill>
        </w:rPr>
        <w:t>中国境内各种济经成分的企事业单位、社会团体、其他经济组织和自然人，以独资、合资、合作、收购、增资扩股等方式，在云南辖区内投资的产业招商项目的基本情况。项目包括省外来滇投资项目(不含境外)及省内企业实施的具有新增发展要素和实质性产业增量的在滇投资项目，不包括政府财政性资金投资项目。项目含以下几类：1.协议总投资500万元及以上固定资产投资项目和其他项目（股权融资、股权转让、企业新注册及资金用于增量项目的债券、权益类REITs产品）；2.新引进营业收入（产值）达10000万元及</w:t>
      </w:r>
      <w:bookmarkStart w:id="0" w:name="_GoBack"/>
      <w:bookmarkEnd w:id="0"/>
      <w:r>
        <w:rPr>
          <w:rFonts w:hint="eastAsia" w:ascii="宋体" w:hAnsi="宋体" w:eastAsia="方正仿宋_GBK" w:cs="方正仿宋_GBK"/>
          <w:color w:val="000000" w:themeColor="text1"/>
          <w:kern w:val="0"/>
          <w:sz w:val="32"/>
          <w:szCs w:val="32"/>
          <w14:textFill>
            <w14:solidFill>
              <w14:schemeClr w14:val="tx1"/>
            </w14:solidFill>
          </w14:textFill>
        </w:rPr>
        <w:t>以上的产业招商项目；3.投资尚未达到500万元，从业人员达50人及以上的促进就业产业招商项目。</w:t>
      </w:r>
    </w:p>
    <w:p>
      <w:pPr>
        <w:widowControl/>
        <w:spacing w:line="560" w:lineRule="exact"/>
        <w:ind w:firstLine="602"/>
        <w:jc w:val="left"/>
        <w:outlineLvl w:val="0"/>
        <w:rPr>
          <w:rFonts w:ascii="宋体" w:hAnsi="宋体" w:eastAsia="黑体" w:cs="黑体"/>
          <w:bCs/>
          <w:color w:val="000000" w:themeColor="text1"/>
          <w:kern w:val="0"/>
          <w:sz w:val="32"/>
          <w:szCs w:val="32"/>
          <w14:textFill>
            <w14:solidFill>
              <w14:schemeClr w14:val="tx1"/>
            </w14:solidFill>
          </w14:textFill>
        </w:rPr>
      </w:pPr>
      <w:r>
        <w:rPr>
          <w:rFonts w:hint="eastAsia" w:ascii="宋体" w:hAnsi="宋体" w:eastAsia="黑体" w:cs="黑体"/>
          <w:bCs/>
          <w:color w:val="000000" w:themeColor="text1"/>
          <w:kern w:val="0"/>
          <w:sz w:val="32"/>
          <w:szCs w:val="32"/>
          <w14:textFill>
            <w14:solidFill>
              <w14:schemeClr w14:val="tx1"/>
            </w14:solidFill>
          </w14:textFill>
        </w:rPr>
        <w:t>三、调查对象及范围</w:t>
      </w:r>
    </w:p>
    <w:p>
      <w:pPr>
        <w:widowControl/>
        <w:spacing w:line="560" w:lineRule="exact"/>
        <w:ind w:firstLine="600"/>
        <w:jc w:val="left"/>
        <w:rPr>
          <w:rFonts w:ascii="宋体" w:hAnsi="宋体" w:eastAsia="方正仿宋_GBK" w:cs="方正仿宋_GBK"/>
          <w:color w:val="000000" w:themeColor="text1"/>
          <w:kern w:val="0"/>
          <w:sz w:val="32"/>
          <w:szCs w:val="32"/>
          <w14:textFill>
            <w14:solidFill>
              <w14:schemeClr w14:val="tx1"/>
            </w14:solidFill>
          </w14:textFill>
        </w:rPr>
      </w:pPr>
      <w:r>
        <w:rPr>
          <w:rFonts w:hint="eastAsia" w:ascii="宋体" w:hAnsi="宋体" w:eastAsia="方正仿宋_GBK" w:cs="方正仿宋_GBK"/>
          <w:color w:val="000000" w:themeColor="text1"/>
          <w:kern w:val="0"/>
          <w:sz w:val="32"/>
          <w:szCs w:val="32"/>
          <w14:textFill>
            <w14:solidFill>
              <w14:schemeClr w14:val="tx1"/>
            </w14:solidFill>
          </w14:textFill>
        </w:rPr>
        <w:t>调查对象为在中国境内注册或登记的各种经济成分的在滇投资企业（投资人）。</w:t>
      </w:r>
    </w:p>
    <w:p>
      <w:pPr>
        <w:widowControl/>
        <w:spacing w:line="560" w:lineRule="exact"/>
        <w:ind w:firstLine="600"/>
        <w:jc w:val="left"/>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kern w:val="0"/>
          <w:sz w:val="32"/>
          <w:szCs w:val="32"/>
          <w14:textFill>
            <w14:solidFill>
              <w14:schemeClr w14:val="tx1"/>
            </w14:solidFill>
          </w14:textFill>
        </w:rPr>
        <w:t>统计范围包括省外投资主体来滇投资及省内投资主体具有新增发展要素和实质性产业增量的在滇投资。</w:t>
      </w:r>
    </w:p>
    <w:p>
      <w:pPr>
        <w:widowControl/>
        <w:spacing w:line="560" w:lineRule="exact"/>
        <w:ind w:firstLine="602"/>
        <w:jc w:val="left"/>
        <w:outlineLvl w:val="0"/>
        <w:rPr>
          <w:rFonts w:ascii="宋体" w:hAnsi="宋体" w:eastAsia="黑体" w:cs="黑体"/>
          <w:bCs/>
          <w:color w:val="000000" w:themeColor="text1"/>
          <w:kern w:val="0"/>
          <w:sz w:val="32"/>
          <w:szCs w:val="32"/>
          <w14:textFill>
            <w14:solidFill>
              <w14:schemeClr w14:val="tx1"/>
            </w14:solidFill>
          </w14:textFill>
        </w:rPr>
      </w:pPr>
      <w:r>
        <w:rPr>
          <w:rFonts w:hint="eastAsia" w:ascii="宋体" w:hAnsi="宋体" w:eastAsia="黑体" w:cs="黑体"/>
          <w:bCs/>
          <w:color w:val="000000" w:themeColor="text1"/>
          <w:kern w:val="0"/>
          <w:sz w:val="32"/>
          <w:szCs w:val="32"/>
          <w14:textFill>
            <w14:solidFill>
              <w14:schemeClr w14:val="tx1"/>
            </w14:solidFill>
          </w14:textFill>
        </w:rPr>
        <w:t>四、调查方法</w:t>
      </w:r>
    </w:p>
    <w:p>
      <w:pPr>
        <w:widowControl/>
        <w:spacing w:line="560" w:lineRule="exact"/>
        <w:ind w:firstLine="640" w:firstLineChars="200"/>
        <w:jc w:val="left"/>
        <w:rPr>
          <w:rFonts w:ascii="宋体" w:hAnsi="宋体" w:eastAsia="方正仿宋_GBK" w:cs="方正仿宋_GBK"/>
          <w:b/>
          <w:bCs/>
          <w:color w:val="000000" w:themeColor="text1"/>
          <w:kern w:val="0"/>
          <w:sz w:val="32"/>
          <w:szCs w:val="32"/>
          <w14:textFill>
            <w14:solidFill>
              <w14:schemeClr w14:val="tx1"/>
            </w14:solidFill>
          </w14:textFill>
        </w:rPr>
      </w:pPr>
      <w:r>
        <w:rPr>
          <w:rFonts w:hint="eastAsia" w:ascii="宋体" w:hAnsi="宋体" w:eastAsia="方正仿宋_GBK" w:cs="方正仿宋_GBK"/>
          <w:color w:val="000000" w:themeColor="text1"/>
          <w:kern w:val="0"/>
          <w:sz w:val="32"/>
          <w:szCs w:val="32"/>
          <w14:textFill>
            <w14:solidFill>
              <w14:schemeClr w14:val="tx1"/>
            </w14:solidFill>
          </w14:textFill>
        </w:rPr>
        <w:t>本制度采用全面调查方法。按照“先入库后有数”的原则，基层投促部门收集辖区内国内合作项目单位报出的基础数据（固定资产投资类项目到位资金，以统计局发布的“固定资产投资额”为准，不再向企业采集该项数据；其他项目由基层投促部门收集辖区内招商引资项目单位报出的基础数据），并通过云南省招商引资项目全生命周期管理平台上报基层数据及综合数据，实现超级汇总。</w:t>
      </w:r>
    </w:p>
    <w:p>
      <w:pPr>
        <w:widowControl/>
        <w:spacing w:line="560" w:lineRule="exact"/>
        <w:ind w:firstLine="602"/>
        <w:jc w:val="left"/>
        <w:outlineLvl w:val="0"/>
        <w:rPr>
          <w:rFonts w:ascii="宋体" w:hAnsi="宋体" w:eastAsia="黑体" w:cs="黑体"/>
          <w:bCs/>
          <w:color w:val="000000" w:themeColor="text1"/>
          <w:kern w:val="0"/>
          <w:sz w:val="32"/>
          <w:szCs w:val="32"/>
          <w14:textFill>
            <w14:solidFill>
              <w14:schemeClr w14:val="tx1"/>
            </w14:solidFill>
          </w14:textFill>
        </w:rPr>
      </w:pPr>
      <w:r>
        <w:rPr>
          <w:rFonts w:hint="eastAsia" w:ascii="宋体" w:hAnsi="宋体" w:eastAsia="黑体" w:cs="黑体"/>
          <w:bCs/>
          <w:color w:val="000000" w:themeColor="text1"/>
          <w:kern w:val="0"/>
          <w:sz w:val="32"/>
          <w:szCs w:val="32"/>
          <w14:textFill>
            <w14:solidFill>
              <w14:schemeClr w14:val="tx1"/>
            </w14:solidFill>
          </w14:textFill>
        </w:rPr>
        <w:t>五、组织方式</w:t>
      </w:r>
    </w:p>
    <w:p>
      <w:pPr>
        <w:widowControl/>
        <w:spacing w:line="560" w:lineRule="exact"/>
        <w:ind w:firstLine="640" w:firstLineChars="200"/>
        <w:jc w:val="left"/>
        <w:rPr>
          <w:rFonts w:ascii="宋体" w:hAnsi="宋体" w:eastAsia="方正仿宋_GBK" w:cs="方正仿宋_GBK"/>
          <w:color w:val="000000" w:themeColor="text1"/>
          <w:kern w:val="0"/>
          <w:sz w:val="32"/>
          <w:szCs w:val="32"/>
          <w14:textFill>
            <w14:solidFill>
              <w14:schemeClr w14:val="tx1"/>
            </w14:solidFill>
          </w14:textFill>
        </w:rPr>
      </w:pPr>
      <w:r>
        <w:rPr>
          <w:rFonts w:hint="eastAsia" w:ascii="宋体" w:hAnsi="宋体" w:eastAsia="方正仿宋_GBK" w:cs="方正仿宋_GBK"/>
          <w:color w:val="000000" w:themeColor="text1"/>
          <w:kern w:val="0"/>
          <w:sz w:val="32"/>
          <w:szCs w:val="32"/>
          <w14:textFill>
            <w14:solidFill>
              <w14:schemeClr w14:val="tx1"/>
            </w14:solidFill>
          </w14:textFill>
        </w:rPr>
        <w:t>全省招商引资统计工作由省投资促进局统一领导，州（市）投资促进部门负责组织、协调、管理和实施。州（市）投资促进部门通过云南省招商引资项目全生命周期管理平台上报本地区项目综合数据；县（市、区）投资促进部门通过云南省招商引资项目全生命周期管理平台填报本地区项目基层数据。</w:t>
      </w:r>
    </w:p>
    <w:p>
      <w:pPr>
        <w:widowControl/>
        <w:spacing w:line="560" w:lineRule="exact"/>
        <w:ind w:firstLine="602"/>
        <w:jc w:val="left"/>
        <w:outlineLvl w:val="0"/>
        <w:rPr>
          <w:rFonts w:ascii="宋体" w:hAnsi="宋体" w:eastAsia="黑体" w:cs="黑体"/>
          <w:bCs/>
          <w:color w:val="000000" w:themeColor="text1"/>
          <w:kern w:val="0"/>
          <w:sz w:val="32"/>
          <w:szCs w:val="32"/>
          <w14:textFill>
            <w14:solidFill>
              <w14:schemeClr w14:val="tx1"/>
            </w14:solidFill>
          </w14:textFill>
        </w:rPr>
      </w:pPr>
      <w:r>
        <w:rPr>
          <w:rFonts w:hint="eastAsia" w:ascii="宋体" w:hAnsi="宋体" w:eastAsia="黑体" w:cs="黑体"/>
          <w:bCs/>
          <w:color w:val="000000" w:themeColor="text1"/>
          <w:kern w:val="0"/>
          <w:sz w:val="32"/>
          <w:szCs w:val="32"/>
          <w14:textFill>
            <w14:solidFill>
              <w14:schemeClr w14:val="tx1"/>
            </w14:solidFill>
          </w14:textFill>
        </w:rPr>
        <w:t>六、数据发布</w:t>
      </w:r>
    </w:p>
    <w:p>
      <w:pPr>
        <w:widowControl/>
        <w:spacing w:line="560" w:lineRule="exact"/>
        <w:ind w:firstLine="640" w:firstLineChars="200"/>
        <w:jc w:val="left"/>
        <w:rPr>
          <w:rFonts w:ascii="宋体" w:hAnsi="宋体" w:eastAsia="方正仿宋_GBK" w:cs="方正仿宋_GBK"/>
          <w:color w:val="000000" w:themeColor="text1"/>
          <w:kern w:val="0"/>
          <w:sz w:val="32"/>
          <w:szCs w:val="32"/>
          <w14:textFill>
            <w14:solidFill>
              <w14:schemeClr w14:val="tx1"/>
            </w14:solidFill>
          </w14:textFill>
        </w:rPr>
      </w:pPr>
      <w:r>
        <w:rPr>
          <w:rFonts w:hint="eastAsia" w:ascii="宋体" w:hAnsi="宋体" w:eastAsia="方正仿宋_GBK" w:cs="方正仿宋_GBK"/>
          <w:color w:val="000000" w:themeColor="text1"/>
          <w:kern w:val="0"/>
          <w:sz w:val="32"/>
          <w:szCs w:val="32"/>
          <w14:textFill>
            <w14:solidFill>
              <w14:schemeClr w14:val="tx1"/>
            </w14:solidFill>
          </w14:textFill>
        </w:rPr>
        <w:t>调查数据供各级决策参考，并及时上报省委、省政府；视情抄送各州（市）政府或通过《云南日报》《云南投资促进网》等媒体对外发布数据。调查数据可以在部门间共享。</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ymbolPS">
    <w:panose1 w:val="05050102010607020607"/>
    <w:charset w:val="00"/>
    <w:family w:val="auto"/>
    <w:pitch w:val="default"/>
    <w:sig w:usb0="00000000" w:usb1="00000000" w:usb2="00000000" w:usb3="00000000" w:csb0="00000000" w:csb1="00000000"/>
  </w:font>
  <w:font w:name="Traditional Arabic">
    <w:panose1 w:val="02020603050405020304"/>
    <w:charset w:val="00"/>
    <w:family w:val="auto"/>
    <w:pitch w:val="default"/>
    <w:sig w:usb0="00006003" w:usb1="80000000" w:usb2="00000008" w:usb3="00000000" w:csb0="00000041" w:csb1="20080000"/>
  </w:font>
  <w:font w:name="Nyala">
    <w:panose1 w:val="02000504070300020003"/>
    <w:charset w:val="00"/>
    <w:family w:val="auto"/>
    <w:pitch w:val="default"/>
    <w:sig w:usb0="A000006F" w:usb1="00000000" w:usb2="00000800" w:usb3="00000000" w:csb0="00000093"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ascii="Batang" w:hAnsi="Batang" w:eastAsia="Batang" w:cs="Batang"/>
                              <w:sz w:val="28"/>
                              <w:szCs w:val="28"/>
                              <w:lang w:eastAsia="zh-CN"/>
                            </w:rPr>
                            <w:fldChar w:fldCharType="begin"/>
                          </w:r>
                          <w:r>
                            <w:rPr>
                              <w:rFonts w:hint="eastAsia" w:ascii="Batang" w:hAnsi="Batang" w:eastAsia="Batang" w:cs="Batang"/>
                              <w:sz w:val="28"/>
                              <w:szCs w:val="28"/>
                              <w:lang w:eastAsia="zh-CN"/>
                            </w:rPr>
                            <w:instrText xml:space="preserve"> PAGE  \* MERGEFORMAT </w:instrText>
                          </w:r>
                          <w:r>
                            <w:rPr>
                              <w:rFonts w:hint="eastAsia" w:ascii="Batang" w:hAnsi="Batang" w:eastAsia="Batang" w:cs="Batang"/>
                              <w:sz w:val="28"/>
                              <w:szCs w:val="28"/>
                              <w:lang w:eastAsia="zh-CN"/>
                            </w:rPr>
                            <w:fldChar w:fldCharType="separate"/>
                          </w:r>
                          <w:r>
                            <w:rPr>
                              <w:rFonts w:hint="eastAsia" w:ascii="Batang" w:hAnsi="Batang" w:eastAsia="Batang" w:cs="Batang"/>
                              <w:sz w:val="28"/>
                              <w:szCs w:val="28"/>
                              <w:lang w:eastAsia="zh-CN"/>
                            </w:rPr>
                            <w:t>1</w:t>
                          </w:r>
                          <w:r>
                            <w:rPr>
                              <w:rFonts w:hint="eastAsia" w:ascii="Batang" w:hAnsi="Batang" w:eastAsia="Batang" w:cs="Batang"/>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ascii="Batang" w:hAnsi="Batang" w:eastAsia="Batang" w:cs="Batang"/>
                        <w:sz w:val="28"/>
                        <w:szCs w:val="28"/>
                        <w:lang w:eastAsia="zh-CN"/>
                      </w:rPr>
                      <w:fldChar w:fldCharType="begin"/>
                    </w:r>
                    <w:r>
                      <w:rPr>
                        <w:rFonts w:hint="eastAsia" w:ascii="Batang" w:hAnsi="Batang" w:eastAsia="Batang" w:cs="Batang"/>
                        <w:sz w:val="28"/>
                        <w:szCs w:val="28"/>
                        <w:lang w:eastAsia="zh-CN"/>
                      </w:rPr>
                      <w:instrText xml:space="preserve"> PAGE  \* MERGEFORMAT </w:instrText>
                    </w:r>
                    <w:r>
                      <w:rPr>
                        <w:rFonts w:hint="eastAsia" w:ascii="Batang" w:hAnsi="Batang" w:eastAsia="Batang" w:cs="Batang"/>
                        <w:sz w:val="28"/>
                        <w:szCs w:val="28"/>
                        <w:lang w:eastAsia="zh-CN"/>
                      </w:rPr>
                      <w:fldChar w:fldCharType="separate"/>
                    </w:r>
                    <w:r>
                      <w:rPr>
                        <w:rFonts w:hint="eastAsia" w:ascii="Batang" w:hAnsi="Batang" w:eastAsia="Batang" w:cs="Batang"/>
                        <w:sz w:val="28"/>
                        <w:szCs w:val="28"/>
                        <w:lang w:eastAsia="zh-CN"/>
                      </w:rPr>
                      <w:t>1</w:t>
                    </w:r>
                    <w:r>
                      <w:rPr>
                        <w:rFonts w:hint="eastAsia" w:ascii="Batang" w:hAnsi="Batang" w:eastAsia="Batang" w:cs="Batang"/>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9A1A68"/>
    <w:rsid w:val="0E9A1A68"/>
    <w:rsid w:val="42AD17FB"/>
    <w:rsid w:val="51296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宋体" w:hAnsi="宋体"/>
      <w:sz w:val="2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云南省统计局</Company>
  <Pages>1</Pages>
  <Words>0</Words>
  <Characters>0</Characters>
  <Lines>0</Lines>
  <Paragraphs>0</Paragraphs>
  <TotalTime>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2026-06-08T09:10:00Z</dcterms:created>
  <dc:creator>李俊</dc:creator>
  <cp:lastModifiedBy>李俊</cp:lastModifiedBy>
  <dcterms:modified xsi:type="dcterms:W3CDTF">2026-06-09T08:05:46Z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